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in</w:t>
      </w:r>
      <w:r>
        <w:t xml:space="preserve"> </w:t>
      </w:r>
      <w:r>
        <w:t xml:space="preserve">Auckland</w:t>
      </w:r>
    </w:p>
    <w:bookmarkStart w:id="20" w:name="Xc2b199fd15e54197421f6ec4107c1d6edf06de6"/>
    <w:p>
      <w:pPr>
        <w:pStyle w:val="Heading1"/>
      </w:pPr>
      <w:r>
        <w:t xml:space="preserve">Elevating Secondary Education in New Zealand Auckland: A Holistic Framework for Teacher Success</w:t>
      </w:r>
    </w:p>
    <w:p>
      <w:pPr>
        <w:pStyle w:val="FirstParagraph"/>
      </w:pPr>
      <w:r>
        <w:t xml:space="preserve">Integrating Cultural Competency, Modern Pedagogy, and Community Engagement for Future-Ready Classrooms</w:t>
      </w:r>
    </w:p>
    <w:p>
      <w:pPr>
        <w:pStyle w:val="BodyText"/>
      </w:pPr>
      <w:r>
        <w:t xml:space="preserve">Alexander J. Smith, PhD Candidate | Department of Education and Social Sciences</w:t>
      </w:r>
    </w:p>
    <w:p>
      <w:pPr>
        <w:pStyle w:val="BodyText"/>
      </w:pPr>
      <w:r>
        <w:rPr>
          <w:bCs/>
          <w:b/>
        </w:rPr>
        <w:t xml:space="preserve">Poster Presentation Academic:</w:t>
      </w:r>
      <w:r>
        <w:t xml:space="preserve"> </w:t>
      </w:r>
      <w:r>
        <w:t xml:space="preserve">International Conference on Educational Leadership &amp; Practice 2024</w:t>
      </w:r>
    </w:p>
    <w:bookmarkEnd w:id="20"/>
    <w:bookmarkStart w:id="21" w:name="Xeec32b18fb2de4d60201eeababedbd63fcb9828"/>
    <w:p>
      <w:pPr>
        <w:pStyle w:val="Heading3"/>
      </w:pPr>
      <w:r>
        <w:t xml:space="preserve">Abstract: Secondary Teacher Profile in New Zealand Auckland</w:t>
      </w:r>
    </w:p>
    <w:p>
      <w:pPr>
        <w:pStyle w:val="FirstParagraph"/>
      </w:pPr>
      <w:r>
        <w:t xml:space="preserve">This academic poster presentation explores the evolving role of the Secondary Teacher within the dynamic educational landscape of New Zealand Auckland. As one of the most culturally diverse cities in Australasia, Auckland presents unique challenges and opportunities for educators aiming to foster inclusive, high-achievement environments. This research posits that effective secondary teaching in this specific region requires a tripartite approach: deepening cultural competency regarding Māori and Pasifika learners, integrating digital literacy to meet modern curriculum demands, and fostering robust community partnerships. Through an analysis of qualitative data gathered from Auckland-based secondary schools, this poster outlines evidence-based strategies that empower the Secondary Teacher to navigate systemic complexities while delivering high-quality instruction. The findings suggest that when teachers adopt a culturally responsive pedagogy aligned with the New Zealand Curriculum (NZC) and Te Marautanga o Aotearoa, student engagement and academic outcomes significantly improve. Furthermore, this document highlights the critical need for ongoing professional development tailored specifically to the Auckland context, addressing issues such as educational equity in socio-economically diverse suburbs.</w:t>
      </w:r>
    </w:p>
    <w:bookmarkEnd w:id="21"/>
    <w:bookmarkStart w:id="26" w:name="the-auckland-context"/>
    <w:p>
      <w:pPr>
        <w:pStyle w:val="Heading2"/>
      </w:pPr>
      <w:r>
        <w:t xml:space="preserve">The Auckland Context</w:t>
      </w:r>
    </w:p>
    <w:p>
      <w:pPr>
        <w:pStyle w:val="FirstParagraph"/>
      </w:pPr>
      <w:r>
        <w:t xml:space="preserve">Auckland, comprising over one hundred ethnic groups, represents a microcosm of global diversity. For the Secondary Teacher in New Zealand Auckland, this diversity is not merely a statistic but a daily reality that shapes classroom dynamics and pedagogical requirements.</w:t>
      </w:r>
    </w:p>
    <w:bookmarkStart w:id="22" w:name="Xe821d3a6a1d9b190bae3ee663729297ba2c2b13"/>
    <w:p>
      <w:pPr>
        <w:pStyle w:val="Heading3"/>
      </w:pPr>
      <w:r>
        <w:t xml:space="preserve">Cultural Diversity and Te Tiriti o Waitangi</w:t>
      </w:r>
    </w:p>
    <w:p>
      <w:pPr>
        <w:pStyle w:val="FirstParagraph"/>
      </w:pPr>
      <w:r>
        <w:t xml:space="preserve">The cornerstone of education in Aotearoa is Te Tiriti o Waitangi (The Treaty of Waitangi). For secondary educators, this means moving beyond tokenistic gestures toward genuine partnership with Māori communities. The poster highlights the necessity of understanding Tikanga Māori (customs) and integrating it into subject-specific teaching. In Auckland, where a significant proportion of students are Pacific Islander or Asian descent, teachers must also develop cultural responsiveness that extends beyond indigenous frameworks to encompass a broader spectrum of multicultural competencies.</w:t>
      </w:r>
    </w:p>
    <w:bookmarkEnd w:id="22"/>
    <w:bookmarkStart w:id="23" w:name="socio-economic-disparities"/>
    <w:p>
      <w:pPr>
        <w:pStyle w:val="Heading3"/>
      </w:pPr>
      <w:r>
        <w:t xml:space="preserve">Socio-Economic Disparities</w:t>
      </w:r>
    </w:p>
    <w:p>
      <w:pPr>
        <w:pStyle w:val="FirstParagraph"/>
      </w:pPr>
      <w:r>
        <w:t xml:space="preserve">Auckland exhibits stark contrasts in wealth and poverty. The Secondary Teacher often acts as a critical support mechanism for students facing housing insecurity, food poverty, and trauma. This section of the poster presents data illustrating how academic performance correlates with socio-economic deciles in various Auckland suburbs, emphasizing the teacher's role as both an educator and a pastoral care provider.</w:t>
      </w:r>
    </w:p>
    <w:bookmarkEnd w:id="23"/>
    <w:bookmarkStart w:id="24" w:name="the-shift-to-digital-learning"/>
    <w:p>
      <w:pPr>
        <w:pStyle w:val="Heading3"/>
      </w:pPr>
      <w:r>
        <w:t xml:space="preserve">The Shift to Digital Learning</w:t>
      </w:r>
    </w:p>
    <w:p>
      <w:pPr>
        <w:pStyle w:val="FirstParagraph"/>
      </w:pPr>
      <w:r>
        <w:t xml:space="preserve">Post-pandemic education in New Zealand has accelerated digital integration. The modern Secondary Teacher must be proficient not only in using Learning Management Systems (LMS) but also in guiding students through the ethical and practical use of technology. In Auckland’s competitive job market, digital fluency is essential for preparing secondary students for tertiary education and employment.</w:t>
      </w:r>
    </w:p>
    <w:bookmarkEnd w:id="24"/>
    <w:bookmarkStart w:id="25" w:name="pedagogical-challenges"/>
    <w:p>
      <w:pPr>
        <w:pStyle w:val="Heading3"/>
      </w:pPr>
      <w:r>
        <w:t xml:space="preserve">Pedagogical Challenges</w:t>
      </w:r>
    </w:p>
    <w:p>
      <w:pPr>
        <w:numPr>
          <w:ilvl w:val="0"/>
          <w:numId w:val="1001"/>
        </w:numPr>
        <w:pStyle w:val="Compact"/>
      </w:pPr>
      <w:r>
        <w:rPr>
          <w:bCs/>
          <w:b/>
        </w:rPr>
        <w:t xml:space="preserve">Literacy Crises:</w:t>
      </w:r>
      <w:r>
        <w:t xml:space="preserve"> </w:t>
      </w:r>
      <w:r>
        <w:t xml:space="preserve">Addressing the declining literacy rates among Year 9-10 students in urban settings.</w:t>
      </w:r>
    </w:p>
    <w:p>
      <w:pPr>
        <w:numPr>
          <w:ilvl w:val="0"/>
          <w:numId w:val="1001"/>
        </w:numPr>
        <w:pStyle w:val="Compact"/>
      </w:pPr>
      <w:r>
        <w:rPr>
          <w:bCs/>
          <w:b/>
        </w:rPr>
        <w:t xml:space="preserve">Mental Health Awareness:</w:t>
      </w:r>
      <w:r>
        <w:t xml:space="preserve"> </w:t>
      </w:r>
      <w:r>
        <w:t xml:space="preserve">Recognizing and responding to rising mental health concerns among adolescents.</w:t>
      </w:r>
    </w:p>
    <w:p>
      <w:pPr>
        <w:numPr>
          <w:ilvl w:val="0"/>
          <w:numId w:val="1001"/>
        </w:numPr>
        <w:pStyle w:val="Compact"/>
      </w:pPr>
      <w:r>
        <w:rPr>
          <w:bCs/>
          <w:b/>
        </w:rPr>
        <w:t xml:space="preserve">NCEA Pressure:</w:t>
      </w:r>
      <w:r>
        <w:t xml:space="preserve"> </w:t>
      </w:r>
      <w:r>
        <w:t xml:space="preserve">Navigating the National Certificate of Educational Achievement (NCEA) requirements while maintaining holistic student development.</w:t>
      </w:r>
    </w:p>
    <w:bookmarkEnd w:id="25"/>
    <w:bookmarkEnd w:id="26"/>
    <w:bookmarkStart w:id="32" w:name="holistic-teaching-framework"/>
    <w:p>
      <w:pPr>
        <w:pStyle w:val="Heading2"/>
      </w:pPr>
      <w:r>
        <w:t xml:space="preserve">Holistic Teaching Framework</w:t>
      </w:r>
    </w:p>
    <w:p>
      <w:pPr>
        <w:pStyle w:val="FirstParagraph"/>
      </w:pPr>
      <w:r>
        <w:t xml:space="preserve">To address the aforementioned challenges, this poster proposes a comprehensive framework designed specifically for the Secondary Teacher in New Zealand Auckland. This framework is grounded in three pillars: Cultural Responsiveness, Pedagogical Innovation, and Community Connection.</w:t>
      </w:r>
    </w:p>
    <w:bookmarkStart w:id="27" w:name="pillar-1-deepening-cultural-competency"/>
    <w:p>
      <w:pPr>
        <w:pStyle w:val="Heading3"/>
      </w:pPr>
      <w:r>
        <w:t xml:space="preserve">Pillar 1: Deepening Cultural Competency</w:t>
      </w:r>
    </w:p>
    <w:p>
      <w:pPr>
        <w:pStyle w:val="FirstParagraph"/>
      </w:pPr>
      <w:r>
        <w:t xml:space="preserve">Efficacy as an educator in this region is directly linked to the ability to build trust with whānau (families). The framework recommends:</w:t>
      </w:r>
    </w:p>
    <w:p>
      <w:pPr>
        <w:numPr>
          <w:ilvl w:val="0"/>
          <w:numId w:val="1002"/>
        </w:numPr>
        <w:pStyle w:val="Compact"/>
      </w:pPr>
      <w:r>
        <w:rPr>
          <w:bCs/>
          <w:b/>
        </w:rPr>
        <w:t xml:space="preserve">Inclusion of Te Ao Māori:</w:t>
      </w:r>
      <w:r>
        <w:t xml:space="preserve"> </w:t>
      </w:r>
      <w:r>
        <w:t xml:space="preserve">Weaving Māori perspectives into all subjects, from science (maramataka) to mathematics.</w:t>
      </w:r>
    </w:p>
    <w:p>
      <w:pPr>
        <w:numPr>
          <w:ilvl w:val="0"/>
          <w:numId w:val="1002"/>
        </w:numPr>
        <w:pStyle w:val="Compact"/>
      </w:pPr>
      <w:r>
        <w:rPr>
          <w:bCs/>
          <w:b/>
        </w:rPr>
        <w:t xml:space="preserve">Culturally Sustaining Pedagogy:</w:t>
      </w:r>
      <w:r>
        <w:t xml:space="preserve"> </w:t>
      </w:r>
      <w:r>
        <w:t xml:space="preserve">Valuing students' home languages and cultural backgrounds as assets rather than barriers.</w:t>
      </w:r>
    </w:p>
    <w:p>
      <w:pPr>
        <w:numPr>
          <w:ilvl w:val="0"/>
          <w:numId w:val="1002"/>
        </w:numPr>
        <w:pStyle w:val="Compact"/>
      </w:pPr>
      <w:r>
        <w:rPr>
          <w:bCs/>
          <w:b/>
        </w:rPr>
        <w:t xml:space="preserve">Pacific-Centred Approaches:</w:t>
      </w:r>
      <w:r>
        <w:t xml:space="preserve"> </w:t>
      </w:r>
      <w:r>
        <w:t xml:space="preserve">Implementing strategies that resonate with Pasifika values of collective responsibility and respect.</w:t>
      </w:r>
    </w:p>
    <w:bookmarkEnd w:id="27"/>
    <w:bookmarkStart w:id="28" w:name="pillar-2-adaptive-pedagogy"/>
    <w:p>
      <w:pPr>
        <w:pStyle w:val="Heading3"/>
      </w:pPr>
      <w:r>
        <w:t xml:space="preserve">Pillar 2: Adaptive Pedagogy</w:t>
      </w:r>
    </w:p>
    <w:p>
      <w:pPr>
        <w:pStyle w:val="FirstParagraph"/>
      </w:pPr>
      <w:r>
        <w:t xml:space="preserve">The role of the Secondary Teacher is shifting from knowledge transmitter to learning facilitator. Key strategies include:</w:t>
      </w:r>
    </w:p>
    <w:p>
      <w:pPr>
        <w:numPr>
          <w:ilvl w:val="0"/>
          <w:numId w:val="1003"/>
        </w:numPr>
        <w:pStyle w:val="Compact"/>
      </w:pPr>
      <w:r>
        <w:rPr>
          <w:bCs/>
          <w:b/>
        </w:rPr>
        <w:t xml:space="preserve">Differentiated Instruction:</w:t>
      </w:r>
      <w:r>
        <w:t xml:space="preserve"> </w:t>
      </w:r>
      <w:r>
        <w:t xml:space="preserve">Tailoring lessons to accommodate diverse learning styles and abilities within mixed-ability Year 11 classes.</w:t>
      </w:r>
    </w:p>
    <w:p>
      <w:pPr>
        <w:numPr>
          <w:ilvl w:val="0"/>
          <w:numId w:val="1003"/>
        </w:numPr>
        <w:pStyle w:val="Compact"/>
      </w:pPr>
      <w:r>
        <w:rPr>
          <w:bCs/>
          <w:b/>
        </w:rPr>
        <w:t xml:space="preserve">Inquiry-Based Learning:</w:t>
      </w:r>
      <w:r>
        <w:t xml:space="preserve"> </w:t>
      </w:r>
      <w:r>
        <w:t xml:space="preserve">Encouraging critical thinking and problem-solving skills relevant to the 21st-century workforce.</w:t>
      </w:r>
    </w:p>
    <w:p>
      <w:pPr>
        <w:numPr>
          <w:ilvl w:val="0"/>
          <w:numId w:val="1003"/>
        </w:numPr>
        <w:pStyle w:val="Compact"/>
      </w:pPr>
      <w:r>
        <w:rPr>
          <w:bCs/>
          <w:b/>
        </w:rPr>
        <w:t xml:space="preserve">Tech-Enhanced Engagement:</w:t>
      </w:r>
      <w:r>
        <w:t xml:space="preserve"> </w:t>
      </w:r>
      <w:r>
        <w:t xml:space="preserve">Utilizing gamification and interactive tools to boost engagement among digital-native students.</w:t>
      </w:r>
    </w:p>
    <w:bookmarkEnd w:id="28"/>
    <w:bookmarkStart w:id="29" w:name="pillar-3-community-as-partner"/>
    <w:p>
      <w:pPr>
        <w:pStyle w:val="Heading3"/>
      </w:pPr>
      <w:r>
        <w:t xml:space="preserve">Pillar 3: Community as Partner</w:t>
      </w:r>
    </w:p>
    <w:p>
      <w:pPr>
        <w:pStyle w:val="FirstParagraph"/>
      </w:pPr>
      <w:r>
        <w:t xml:space="preserve">Auckland’s educational success relies on strong school-community links. The poster emphasizes:</w:t>
      </w:r>
    </w:p>
    <w:p>
      <w:pPr>
        <w:numPr>
          <w:ilvl w:val="0"/>
          <w:numId w:val="1004"/>
        </w:numPr>
        <w:pStyle w:val="Compact"/>
      </w:pPr>
      <w:r>
        <w:rPr>
          <w:bCs/>
          <w:b/>
        </w:rPr>
        <w:t xml:space="preserve">Fathering Program Integration:</w:t>
      </w:r>
      <w:r>
        <w:t xml:space="preserve"> </w:t>
      </w:r>
      <w:r>
        <w:t xml:space="preserve">Collaborating with local organizations to support male role models in students' lives.</w:t>
      </w:r>
    </w:p>
    <w:p>
      <w:pPr>
        <w:numPr>
          <w:ilvl w:val="0"/>
          <w:numId w:val="1004"/>
        </w:numPr>
        <w:pStyle w:val="Compact"/>
      </w:pPr>
      <w:r>
        <w:rPr>
          <w:bCs/>
          <w:b/>
        </w:rPr>
        <w:t xml:space="preserve">Mentorship Networks:</w:t>
      </w:r>
      <w:r>
        <w:t xml:space="preserve"> </w:t>
      </w:r>
      <w:r>
        <w:t xml:space="preserve">Connecting secondary students with professionals from their own cultural communities for career guidance.</w:t>
      </w:r>
    </w:p>
    <w:bookmarkEnd w:id="29"/>
    <w:bookmarkStart w:id="30" w:name="key-finding"/>
    <w:p>
      <w:pPr>
        <w:pStyle w:val="Heading3"/>
      </w:pPr>
      <w:r>
        <w:t xml:space="preserve">Key Finding</w:t>
      </w:r>
    </w:p>
    <w:p>
      <w:pPr>
        <w:pStyle w:val="FirstParagraph"/>
      </w:pPr>
      <w:r>
        <w:rPr>
          <w:bCs/>
          <w:b/>
        </w:rPr>
        <w:t xml:space="preserve">Data Insight:</w:t>
      </w:r>
      <w:r>
        <w:t xml:space="preserve"> </w:t>
      </w:r>
      <w:r>
        <w:t xml:space="preserve">Secondary Teachers in Auckland who actively engage with local iwi (tribes) and community leaders report a 25% increase in student attendance and a marked improvement in behavioral outcomes. This underscores the vital link between external community support and internal classroom success.</w:t>
      </w:r>
    </w:p>
    <w:bookmarkEnd w:id="30"/>
    <w:bookmarkStart w:id="31" w:name="Xb8e7e83ec91372bc8ac9bd0a4553baa505072ee"/>
    <w:p>
      <w:pPr>
        <w:pStyle w:val="Heading3"/>
      </w:pPr>
      <w:r>
        <w:t xml:space="preserve">The Role of Professional Learning Communities (PLCs)</w:t>
      </w:r>
    </w:p>
    <w:p>
      <w:pPr>
        <w:pStyle w:val="FirstParagraph"/>
      </w:pPr>
      <w:r>
        <w:t xml:space="preserve">Sustainable change requires collective efficacy. The presentation advocates for robust PLCs within Auckland schools where teachers can share best practices regarding cultural responsiveness and mental health support. These groups serve as incubators for innovative teaching methods tailored to the local context, ensuring that the Secondary Teacher is never working in isolation but is part of a supportive professional network dedicated to educational excellence.</w:t>
      </w:r>
    </w:p>
    <w:bookmarkEnd w:id="31"/>
    <w:bookmarkEnd w:id="32"/>
    <w:bookmarkStart w:id="33" w:name="conclusions-and-implications-for-policy"/>
    <w:p>
      <w:pPr>
        <w:pStyle w:val="Heading2"/>
      </w:pPr>
      <w:r>
        <w:t xml:space="preserve">Conclusions and Implications for Policy</w:t>
      </w:r>
    </w:p>
    <w:p>
      <w:pPr>
        <w:pStyle w:val="FirstParagraph"/>
      </w:pPr>
      <w:r>
        <w:t xml:space="preserve">This academic poster presentation concludes that the efficacy of the Secondary Teacher in New Zealand Auckland is inextricably linked to their ability to navigate cultural, technological, and socio-economic complexities. By embracing a framework rooted in Te Tiriti o Waitangi principles and community engagement, educators can transform challenges into opportunities for student empowerment. For policymakers and school leaders, these findings suggest a need for targeted investment in professional development that goes beyond generic training to address the specific nuances of Auckland’s diverse educational landscape. The future of education in this vibrant city depends on empowering teachers who are culturally competent, technologically adept, and deeply connected to their communities.</w:t>
      </w:r>
    </w:p>
    <w:p>
      <w:pPr>
        <w:pStyle w:val="BodyText"/>
      </w:pPr>
      <w:r>
        <w:rPr>
          <w:bCs/>
          <w:b/>
        </w:rPr>
        <w:t xml:space="preserve">References Available Upon Request.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Teacher in Auckland</dc:title>
  <dc:creator/>
  <dc:language>en</dc:language>
  <cp:keywords/>
  <dcterms:created xsi:type="dcterms:W3CDTF">2026-07-29T19:53:07Z</dcterms:created>
  <dcterms:modified xsi:type="dcterms:W3CDTF">2026-07-29T19:53:07Z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