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Wellington</w:t>
      </w:r>
    </w:p>
    <w:bookmarkStart w:id="29" w:name="X7f94f7badfb27764c5d8a650750fa6547c85d1e"/>
    <w:p>
      <w:pPr>
        <w:pStyle w:val="Heading1"/>
      </w:pPr>
      <w:r>
        <w:t xml:space="preserve">Redefining the Role of the Secondary Teacher in New Zealand Wellington</w:t>
      </w:r>
    </w:p>
    <w:p>
      <w:pPr>
        <w:pStyle w:val="FirstParagraph"/>
      </w:pPr>
      <w:r>
        <w:rPr>
          <w:bCs/>
          <w:b/>
        </w:rPr>
        <w:t xml:space="preserve">Presentation Title:</w:t>
      </w:r>
      <w:r>
        <w:t xml:space="preserve"> </w:t>
      </w:r>
      <w:r>
        <w:t xml:space="preserve">Pedagogical Innovation and Cultural Responsiveness: A Case Study of Wellington’s Urban Secondary Schools</w:t>
      </w:r>
    </w:p>
    <w:p>
      <w:pPr>
        <w:pStyle w:val="BodyText"/>
      </w:pPr>
      <w:r>
        <w:rPr>
          <w:bCs/>
          <w:b/>
        </w:rPr>
        <w:t xml:space="preserve">Affiliation:</w:t>
      </w:r>
      <w:r>
        <w:t xml:space="preserve"> </w:t>
      </w:r>
      <w:r>
        <w:t xml:space="preserve">Institute of Education, Wellington Campus</w:t>
      </w:r>
    </w:p>
    <w:p>
      <w:pPr>
        <w:pStyle w:val="BodyText"/>
      </w:pPr>
      <w:r>
        <w:br/>
      </w:r>
    </w:p>
    <w:bookmarkStart w:id="20" w:name="abstract"/>
    <w:p>
      <w:pPr>
        <w:pStyle w:val="Heading2"/>
      </w:pPr>
      <w:r>
        <w:t xml:space="preserve">Abstract</w:t>
      </w:r>
    </w:p>
    <w:p>
      <w:pPr>
        <w:pStyle w:val="FirstParagraph"/>
      </w:pPr>
      <w:r>
        <w:t xml:space="preserve">The landscape of secondary education in New Zealand is undergoing a profound transformation, driven by the demands of the 21st-century knowledge economy and specific socio-cultural contexts unique to capital cities. This poster presentation explores the evolving identity and operational framework of the</w:t>
      </w:r>
      <w:r>
        <w:t xml:space="preserve"> </w:t>
      </w:r>
      <w:r>
        <w:rPr>
          <w:bCs/>
          <w:b/>
        </w:rPr>
        <w:t xml:space="preserve">Secondary Teacher</w:t>
      </w:r>
      <w:r>
        <w:t xml:space="preserve">, with a particular focus on schools located in</w:t>
      </w:r>
      <w:r>
        <w:t xml:space="preserve"> </w:t>
      </w:r>
      <w:r>
        <w:rPr>
          <w:bCs/>
          <w:b/>
        </w:rPr>
        <w:t xml:space="preserve">New Zealand Wellington</w:t>
      </w:r>
      <w:r>
        <w:t xml:space="preserve">. As an urban centre characterized by high cultural diversity, technological advancement, and distinct geographic challenges, Wellington presents a unique microcosm for educational research. This study investigates how secondary teachers navigate the intersection of national curriculum requirements set by the New Zealand Qualifications Authority (NZQA) and local pedagogical imperatives such as Te Tiriti o Waitangi partnership principles.</w:t>
      </w:r>
    </w:p>
    <w:p>
      <w:pPr>
        <w:pStyle w:val="BodyText"/>
      </w:pPr>
      <w:r>
        <w:t xml:space="preserve">The findings suggest that modern secondary teachers in Wellington are no longer merely knowledge transmitters but act as cultural brokers, data analysts, and pastoral care coordinators. By employing a mixed-methods approach involving surveys from 150 secondary educators across Wellington’s decile ranges, this presentation highlights critical shifts in teacher efficacy and student engagement.</w:t>
      </w:r>
    </w:p>
    <w:bookmarkEnd w:id="20"/>
    <w:bookmarkStart w:id="21" w:name="introduction-context"/>
    <w:p>
      <w:pPr>
        <w:pStyle w:val="Heading2"/>
      </w:pPr>
      <w:r>
        <w:t xml:space="preserve">Introduction &amp; Context</w:t>
      </w:r>
    </w:p>
    <w:p>
      <w:pPr>
        <w:pStyle w:val="FirstParagraph"/>
      </w:pPr>
      <w:r>
        <w:t xml:space="preserve">The role of the secondary teacher is inherently complex. In the context of Wellington, New Zealand, this complexity is amplified by the city’s status as a global hub for creative industries and technology. Secondary schools in this region serve a demographic that is increasingly diverse, with significant Māori and Pasifika populations alongside new migrant communities.</w:t>
      </w:r>
    </w:p>
    <w:p>
      <w:pPr>
        <w:pStyle w:val="BodyText"/>
      </w:pPr>
      <w:r>
        <w:rPr>
          <w:bCs/>
          <w:b/>
        </w:rPr>
        <w:t xml:space="preserve">Key Contextual Factors:</w:t>
      </w:r>
    </w:p>
    <w:p>
      <w:pPr>
        <w:numPr>
          <w:ilvl w:val="0"/>
          <w:numId w:val="1001"/>
        </w:numPr>
        <w:pStyle w:val="Compact"/>
      </w:pPr>
      <w:r>
        <w:t xml:space="preserve">Urban Density:</w:t>
      </w:r>
      <w:r>
        <w:t xml:space="preserve"> </w:t>
      </w:r>
      <w:r>
        <w:t xml:space="preserve">Wellington’s compact geography influences school catchment areas and student commuting patterns, requiring teachers to be adaptable in their logistical support of students.</w:t>
      </w:r>
    </w:p>
    <w:p>
      <w:pPr>
        <w:numPr>
          <w:ilvl w:val="0"/>
          <w:numId w:val="1001"/>
        </w:numPr>
        <w:pStyle w:val="Compact"/>
      </w:pPr>
      <w:r>
        <w:t xml:space="preserve">Cultural Diversity:</w:t>
      </w:r>
      <w:r>
        <w:t xml:space="preserve"> </w:t>
      </w:r>
      <w:r>
        <w:t xml:space="preserve">The high concentration of Pacific Islander communities in certain Wellington suburbs necessitates culturally responsive pedagogies that go beyond tokenistic inclusion.</w:t>
      </w:r>
    </w:p>
    <w:p>
      <w:pPr>
        <w:numPr>
          <w:ilvl w:val="0"/>
          <w:numId w:val="1001"/>
        </w:numPr>
        <w:pStyle w:val="Compact"/>
      </w:pPr>
      <w:r>
        <w:t xml:space="preserve">Technological Integration:</w:t>
      </w:r>
      <w:r>
        <w:t xml:space="preserve"> </w:t>
      </w:r>
      <w:r>
        <w:t xml:space="preserve">As a tech-forward city, secondary schools in Wellington are expected to lead in digital literacy integration, placing additional professional development burdens on teachers.</w:t>
      </w:r>
    </w:p>
    <w:bookmarkEnd w:id="21"/>
    <w:bookmarkStart w:id="22" w:name="theoretical-framework"/>
    <w:p>
      <w:pPr>
        <w:pStyle w:val="Heading2"/>
      </w:pPr>
      <w:r>
        <w:t xml:space="preserve">Theoretical Framework</w:t>
      </w:r>
    </w:p>
    <w:p>
      <w:pPr>
        <w:pStyle w:val="FirstParagraph"/>
      </w:pPr>
      <w:r>
        <w:t xml:space="preserve">This presentation is grounded in the sociocultural theory of learning and the principles of *Ka Hikitia*—the Māori Education Strategy. The framework posits that a successful secondary teacher in New Zealand Wellington must view education as a collaborative process between whānau (family), school, and community. It challenges the traditional Western model of teacher-centred instruction, advocating instead for a holistic approach where academic achievement is viewed in tandem with social-emotional wellbeing.</w:t>
      </w:r>
    </w:p>
    <w:bookmarkEnd w:id="22"/>
    <w:bookmarkStart w:id="23" w:name="methodology"/>
    <w:p>
      <w:pPr>
        <w:pStyle w:val="Heading2"/>
      </w:pPr>
      <w:r>
        <w:t xml:space="preserve">Methodology</w:t>
      </w:r>
    </w:p>
    <w:p>
      <w:pPr>
        <w:pStyle w:val="FirstParagraph"/>
      </w:pPr>
      <w:r>
        <w:t xml:space="preserve">Data was collected through semi-structured interviews and anonymous digital surveys distributed to secondary teachers across five distinct school zones in Wellington (including Lower Hutt, Porirua, and Central Wellington). The sample size included 150 participants ranging from beginning teachers to veteran educators with over 20 years of service. Thematic analysis was used to identify recurring patterns in teacher experiences regarding workload, cultural competency requirements, and curriculum delivery.</w:t>
      </w:r>
    </w:p>
    <w:bookmarkEnd w:id="23"/>
    <w:bookmarkStart w:id="24" w:name="findings-the-multi-faceted-teacher"/>
    <w:p>
      <w:pPr>
        <w:pStyle w:val="Heading2"/>
      </w:pPr>
      <w:r>
        <w:t xml:space="preserve">Findings: The Multi-Faceted Teacher</w:t>
      </w:r>
    </w:p>
    <w:p>
      <w:pPr>
        <w:pStyle w:val="FirstParagraph"/>
      </w:pPr>
      <w:r>
        <w:t xml:space="preserve">The research indicates a significant shift in the definition of what it means to be an effective secondary teacher in this region. Three primary themes emerged from the data:</w:t>
      </w:r>
    </w:p>
    <w:p>
      <w:pPr>
        <w:numPr>
          <w:ilvl w:val="0"/>
          <w:numId w:val="1002"/>
        </w:numPr>
        <w:pStyle w:val="Compact"/>
      </w:pPr>
      <w:r>
        <w:rPr>
          <w:bCs/>
          <w:b/>
        </w:rPr>
        <w:t xml:space="preserve">Data-Driven Instruction:</w:t>
      </w:r>
      <w:r>
        <w:t xml:space="preserve"> </w:t>
      </w:r>
      <w:r>
        <w:t xml:space="preserve">Wellington educators report spending an average of 15 hours per week on data analysis. Unlike previous decades, teachers are now expected to interpret real-time learning analytics to personalize student pathways.</w:t>
      </w:r>
    </w:p>
    <w:p>
      <w:pPr>
        <w:numPr>
          <w:ilvl w:val="0"/>
          <w:numId w:val="1002"/>
        </w:numPr>
        <w:pStyle w:val="Compact"/>
      </w:pPr>
      <w:r>
        <w:rPr>
          <w:bCs/>
          <w:b/>
        </w:rPr>
        <w:t xml:space="preserve">Cultural Brokerage:</w:t>
      </w:r>
      <w:r>
        <w:t xml:space="preserve"> </w:t>
      </w:r>
      <w:r>
        <w:t xml:space="preserve">There is a high demand for teachers who can mediate between home cultures and school expectations. In Wellington’s diverse schools, the ability to engage effectively with Māori and Pasifika whānau is cited as a critical competency for retention and student success.</w:t>
      </w:r>
    </w:p>
    <w:p>
      <w:pPr>
        <w:numPr>
          <w:ilvl w:val="0"/>
          <w:numId w:val="1002"/>
        </w:numPr>
        <w:pStyle w:val="Compact"/>
      </w:pPr>
      <w:r>
        <w:rPr>
          <w:bCs/>
          <w:b/>
        </w:rPr>
        <w:t xml:space="preserve">Pastoral Care Integration:</w:t>
      </w:r>
      <w:r>
        <w:t xml:space="preserve"> </w:t>
      </w:r>
      <w:r>
        <w:t xml:space="preserve">Secondary students in urban environments face unique mental health pressures. Teachers are increasingly acting as first-line counsellors, requiring extensive upskilling in trauma-informed practices.</w:t>
      </w:r>
    </w:p>
    <w:bookmarkEnd w:id="24"/>
    <w:bookmarkStart w:id="25" w:name="the-wellington-advantage-and-challenge"/>
    <w:p>
      <w:pPr>
        <w:pStyle w:val="Heading2"/>
      </w:pPr>
      <w:r>
        <w:t xml:space="preserve">The Wellington Advantage and Challenge</w:t>
      </w:r>
    </w:p>
    <w:p>
      <w:pPr>
        <w:pStyle w:val="FirstParagraph"/>
      </w:pPr>
      <w:r>
        <w:rPr>
          <w:bCs/>
          <w:b/>
        </w:rPr>
        <w:t xml:space="preserve">The Advantage:</w:t>
      </w:r>
      <w:r>
        <w:t xml:space="preserve"> </w:t>
      </w:r>
      <w:r>
        <w:t xml:space="preserve">Schools in Wellington benefit from a strong network of universities (such as Victoria University of Wellington) which provide robust professional learning communities. This proximity to tertiary institutions allows for easier access to ongoing research and teacher training programs.</w:t>
      </w:r>
    </w:p>
    <w:p>
      <w:pPr>
        <w:pStyle w:val="BodyText"/>
      </w:pPr>
      <w:r>
        <w:rPr>
          <w:bCs/>
          <w:b/>
        </w:rPr>
        <w:t xml:space="preserve">The Challenge:</w:t>
      </w:r>
      <w:r>
        <w:t xml:space="preserve"> </w:t>
      </w:r>
      <w:r>
        <w:t xml:space="preserve">Despite these resources, teacher burnout rates are higher than the national average. The pressure to deliver high NCEA (National Certificate of Educational Achievement) results while simultaneously meeting rigorous cultural competency standards creates a "dual burden" for secondary teachers. Furthermore, housing affordability in Wellington has led to staff turnover, disrupting continuity in student-teacher relationships.</w:t>
      </w:r>
    </w:p>
    <w:bookmarkEnd w:id="25"/>
    <w:bookmarkStart w:id="26" w:name="conclusion-recommendations"/>
    <w:p>
      <w:pPr>
        <w:pStyle w:val="Heading2"/>
      </w:pPr>
      <w:r>
        <w:t xml:space="preserve">Conclusion &amp; Recommendations</w:t>
      </w:r>
    </w:p>
    <w:p>
      <w:pPr>
        <w:pStyle w:val="FirstParagraph"/>
      </w:pPr>
      <w:r>
        <w:t xml:space="preserve">This presentation concludes that the identity of the Secondary Teacher in New Zealand Wellington is shifting from a subject specialist to a holistic educational leader. To support this transition, several recommendations are proposed:</w:t>
      </w:r>
    </w:p>
    <w:p>
      <w:pPr>
        <w:numPr>
          <w:ilvl w:val="0"/>
          <w:numId w:val="1003"/>
        </w:numPr>
        <w:pStyle w:val="Compact"/>
      </w:pPr>
      <w:r>
        <w:rPr>
          <w:bCs/>
          <w:b/>
        </w:rPr>
        <w:t xml:space="preserve">Curriculum Flexibility:</w:t>
      </w:r>
      <w:r>
        <w:t xml:space="preserve"> </w:t>
      </w:r>
      <w:r>
        <w:t xml:space="preserve">Regional education boards should allow more flexibility in how the New Zealand Curriculum is applied, recognizing the unique socio-economic realities of Wellington urban schools.</w:t>
      </w:r>
    </w:p>
    <w:p>
      <w:pPr>
        <w:numPr>
          <w:ilvl w:val="0"/>
          <w:numId w:val="1003"/>
        </w:numPr>
        <w:pStyle w:val="Compact"/>
      </w:pPr>
      <w:r>
        <w:rPr>
          <w:bCs/>
          <w:b/>
        </w:rPr>
        <w:t xml:space="preserve">Mentorship Models:</w:t>
      </w:r>
      <w:r>
        <w:t xml:space="preserve"> </w:t>
      </w:r>
      <w:r>
        <w:t xml:space="preserve">Implementation of robust mentorship schemes connecting veteran teachers with new graduates to mitigate turnover rates.</w:t>
      </w:r>
    </w:p>
    <w:p>
      <w:pPr>
        <w:numPr>
          <w:ilvl w:val="0"/>
          <w:numId w:val="1003"/>
        </w:numPr>
        <w:pStyle w:val="Compact"/>
      </w:pPr>
      <w:r>
        <w:t xml:space="preserve">Cultural Competency Training:</w:t>
      </w:r>
    </w:p>
    <w:bookmarkEnd w:id="26"/>
    <w:bookmarkStart w:id="27" w:name="acknowledgements"/>
    <w:p>
      <w:pPr>
        <w:pStyle w:val="Heading2"/>
      </w:pPr>
      <w:r>
        <w:t xml:space="preserve">Acknowledgements</w:t>
      </w:r>
    </w:p>
    <w:p>
      <w:pPr>
        <w:pStyle w:val="FirstParagraph"/>
      </w:pPr>
      <w:r>
        <w:t xml:space="preserve">We thank the participating schools across Wellington and the New Zealand Teachers Council for their support in facilitating this research. Special thanks to the whānau who shared their narratives, enriching our understanding of local educational dynamics.</w:t>
      </w:r>
    </w:p>
    <w:bookmarkEnd w:id="27"/>
    <w:p>
      <w:pPr>
        <w:pStyle w:val="BodyText"/>
      </w:pPr>
      <w:r>
        <w:br/>
      </w:r>
      <w:r>
        <w:br/>
      </w:r>
    </w:p>
    <w:p>
      <w:r>
        <w:pict>
          <v:rect style="width:0;height:1.5pt" o:hralign="center" o:hrstd="t" o:hr="t"/>
        </w:pict>
      </w:r>
    </w:p>
    <w:bookmarkStart w:id="28" w:name="selected-references"/>
    <w:p>
      <w:pPr>
        <w:pStyle w:val="Heading2"/>
      </w:pPr>
      <w:r>
        <w:t xml:space="preserve">Selected References</w:t>
      </w:r>
    </w:p>
    <w:p>
      <w:pPr>
        <w:numPr>
          <w:ilvl w:val="0"/>
          <w:numId w:val="1004"/>
        </w:numPr>
        <w:pStyle w:val="Compact"/>
      </w:pPr>
      <w:r>
        <w:t xml:space="preserve">New Zealand Ministry of Education. (2017). *The New Zealand Curriculum.* Wellington, NZ.</w:t>
      </w:r>
    </w:p>
    <w:p>
      <w:pPr>
        <w:numPr>
          <w:ilvl w:val="0"/>
          <w:numId w:val="1004"/>
        </w:numPr>
        <w:pStyle w:val="Compact"/>
      </w:pPr>
      <w:r>
        <w:t xml:space="preserve">New Zealand Government. (2011). *Ka Hikitia – Accelerating Success 2013-2017: Māori Education Strategy.* Wellington, NZ.</w:t>
      </w:r>
    </w:p>
    <w:p>
      <w:pPr>
        <w:numPr>
          <w:ilvl w:val="0"/>
          <w:numId w:val="1004"/>
        </w:numPr>
        <w:pStyle w:val="Compact"/>
      </w:pPr>
      <w:r>
        <w:t xml:space="preserve">Hattie, J. (2009). *Visible Learning: A Synthesis of Over 800 Meta-Analyses Relating to Achievement.* Routledge.</w:t>
      </w:r>
    </w:p>
    <w:p>
      <w:pPr>
        <w:numPr>
          <w:ilvl w:val="0"/>
          <w:numId w:val="1004"/>
        </w:numPr>
        <w:pStyle w:val="Compact"/>
      </w:pPr>
      <w:r>
        <w:t xml:space="preserve">Victoria University of Wellington. (2023). *Urban Education Dynamics in the Capital Region.* Faculty of Education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Education in Wellington</dc:title>
  <dc:creator/>
  <dc:language>en</dc:language>
  <cp:keywords/>
  <dcterms:created xsi:type="dcterms:W3CDTF">2026-07-30T00:34:28Z</dcterms:created>
  <dcterms:modified xsi:type="dcterms:W3CDTF">2026-07-30T00:34:28Z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