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Teacher</w:t>
      </w:r>
      <w:r>
        <w:t xml:space="preserve"> </w:t>
      </w:r>
      <w:r>
        <w:t xml:space="preserve">Development</w:t>
      </w:r>
      <w:r>
        <w:t xml:space="preserve"> </w:t>
      </w:r>
      <w:r>
        <w:t xml:space="preserve">in</w:t>
      </w:r>
      <w:r>
        <w:t xml:space="preserve"> </w:t>
      </w:r>
      <w:r>
        <w:t xml:space="preserve">Russia,</w:t>
      </w:r>
      <w:r>
        <w:t xml:space="preserve"> </w:t>
      </w:r>
      <w:r>
        <w:t xml:space="preserve">Moscow</w:t>
      </w:r>
    </w:p>
    <w:bookmarkStart w:id="30" w:name="Xa2c7b2310a2c62e3b1d6a4e9ea475de4f531847"/>
    <w:p>
      <w:pPr>
        <w:pStyle w:val="Heading1"/>
      </w:pPr>
      <w:r>
        <w:t xml:space="preserve">Bridging Tradition and Modernity in the Moscow Secondary Classroom:</w:t>
      </w:r>
      <w:r>
        <w:br/>
      </w:r>
      <w:r>
        <w:t xml:space="preserve">A Framework for Teacher Professional Development</w:t>
      </w:r>
    </w:p>
    <w:p>
      <w:pPr>
        <w:pStyle w:val="FirstParagraph"/>
      </w:pPr>
      <w:r>
        <w:rPr>
          <w:bCs/>
          <w:b/>
        </w:rPr>
        <w:t xml:space="preserve">Author:</w:t>
      </w:r>
      <w:r>
        <w:t xml:space="preserve"> </w:t>
      </w:r>
      <w:r>
        <w:t xml:space="preserve">[Your Name/Institution]</w:t>
      </w:r>
    </w:p>
    <w:p>
      <w:pPr>
        <w:pStyle w:val="BodyText"/>
      </w:pPr>
      <w:r>
        <w:rPr>
          <w:bCs/>
          <w:b/>
        </w:rPr>
        <w:t xml:space="preserve">Date:</w:t>
      </w:r>
      <w:r>
        <w:t xml:space="preserve"> </w:t>
      </w:r>
      <w:r>
        <w:t xml:space="preserve">October 2023</w:t>
      </w:r>
    </w:p>
    <w:p>
      <w:pPr>
        <w:pStyle w:val="BodyText"/>
      </w:pPr>
      <w:r>
        <w:rPr>
          <w:iCs/>
          <w:i/>
        </w:rPr>
        <w:t xml:space="preserve">A Poster Presentation Academic Document for Educational Stakeholders in Russia, Moscow</w:t>
      </w:r>
    </w:p>
    <w:bookmarkStart w:id="20" w:name="i.-abstract"/>
    <w:p>
      <w:pPr>
        <w:pStyle w:val="Heading2"/>
      </w:pPr>
      <w:r>
        <w:t xml:space="preserve">I. Abstract</w:t>
      </w:r>
    </w:p>
    <w:p>
      <w:pPr>
        <w:pStyle w:val="FirstParagraph"/>
      </w:pPr>
      <w:r>
        <w:t xml:space="preserve">The landscape of secondary education in Russia, particularly within the bustling educational hub of Moscow, is undergoing a profound transformation. As the capital city serves as both the political heart and an economic powerhouse of Russia, its secondary schools are tasked with preparing students for a globalized future while maintaining deep-rooted cultural values. This poster presentation academic document outlines critical strategies for secondary teachers in this unique context. It explores how educators can effectively integrate digital literacy, pedagogical innovation, and emotional intelligence into their daily practices to address the specific challenges faced by the modern Moscow student demographic.</w:t>
      </w:r>
    </w:p>
    <w:bookmarkEnd w:id="20"/>
    <w:bookmarkStart w:id="21" w:name="Xb49e31fde02ec5b05178ecb32dc4f9b82f0a659"/>
    <w:p>
      <w:pPr>
        <w:pStyle w:val="Heading2"/>
      </w:pPr>
      <w:r>
        <w:t xml:space="preserve">II. Introduction: The Context of Secondary Education in Russia</w:t>
      </w:r>
    </w:p>
    <w:p>
      <w:pPr>
        <w:pStyle w:val="FirstParagraph"/>
      </w:pPr>
      <w:r>
        <w:t xml:space="preserve">Moscow represents a microcosm of contemporary Russian society. It is a city where rapid technological advancement meets historical continuity. For secondary teachers operating within this environment, the pressure to perform is immense, yet the resources are abundant compared to rural regions. However, the "Teacher Secondary" role has evolved significantly over the last decade.</w:t>
      </w:r>
    </w:p>
    <w:p>
      <w:pPr>
        <w:pStyle w:val="BodyText"/>
      </w:pPr>
      <w:r>
        <w:t xml:space="preserve">In Russia Moscow schools, students are often exposed to high levels of competition and academic rigor starting from early adolescence. The modern secondary teacher is no longer merely a transmitter of knowledge but a facilitator of critical thinking and a mentor for socio-emotional development. This document aims to provide actionable insights for these educators, emphasizing the need for adaptive teaching methodologies that resonate with Moscow's diverse student body.</w:t>
      </w:r>
    </w:p>
    <w:bookmarkEnd w:id="21"/>
    <w:bookmarkStart w:id="22" w:name="Xf16d97cc00af4027e18f70db85000d70f2c86f6"/>
    <w:p>
      <w:pPr>
        <w:pStyle w:val="Heading2"/>
      </w:pPr>
      <w:r>
        <w:t xml:space="preserve">III. Key Challenges Facing Secondary Teachers in Moscow</w:t>
      </w:r>
    </w:p>
    <w:p>
      <w:pPr>
        <w:numPr>
          <w:ilvl w:val="0"/>
          <w:numId w:val="1001"/>
        </w:numPr>
        <w:pStyle w:val="Compact"/>
      </w:pPr>
      <w:r>
        <w:rPr>
          <w:bCs/>
          <w:b/>
        </w:rPr>
        <w:t xml:space="preserve">Digital Disparity and Overload:</w:t>
      </w:r>
      <w:r>
        <w:t xml:space="preserve"> </w:t>
      </w:r>
      <w:r>
        <w:t xml:space="preserve">While Moscow schools are well-equipped with smart boards and digital platforms, teachers often struggle with the cognitive load of managing these tools. The challenge is not access to technology, but the effective pedagogical integration of it.</w:t>
      </w:r>
    </w:p>
    <w:p>
      <w:pPr>
        <w:numPr>
          <w:ilvl w:val="0"/>
          <w:numId w:val="1001"/>
        </w:numPr>
        <w:pStyle w:val="Compact"/>
      </w:pPr>
      <w:r>
        <w:rPr>
          <w:bCs/>
          <w:b/>
        </w:rPr>
        <w:t xml:space="preserve">Heterogeneous Student Needs:</w:t>
      </w:r>
      <w:r>
        <w:t xml:space="preserve"> </w:t>
      </w:r>
      <w:r>
        <w:t xml:space="preserve">Moscow's secondary classrooms often contain students from varying socioeconomic backgrounds. Some students attend specialized language schools, while others come from public institutions with fewer resources. Teachers must differentiate instruction effectively in mixed-ability environments.</w:t>
      </w:r>
    </w:p>
    <w:p>
      <w:pPr>
        <w:numPr>
          <w:ilvl w:val="0"/>
          <w:numId w:val="1001"/>
        </w:numPr>
        <w:pStyle w:val="Compact"/>
      </w:pPr>
      <w:r>
        <w:rPr>
          <w:bCs/>
          <w:b/>
        </w:rPr>
        <w:t xml:space="preserve">Burnout and Retention:</w:t>
      </w:r>
      <w:r>
        <w:t xml:space="preserve"> </w:t>
      </w:r>
      <w:r>
        <w:t xml:space="preserve">The high-stakes testing culture associated with the Unified State Exam (EGE) places significant stress on secondary teachers. Burnout rates are a concern, impacting the quality of education delivered to students across Russia's capital.</w:t>
      </w:r>
    </w:p>
    <w:bookmarkEnd w:id="22"/>
    <w:bookmarkStart w:id="26" w:name="iv.-proposed-pedagogical-framework"/>
    <w:p>
      <w:pPr>
        <w:pStyle w:val="Heading2"/>
      </w:pPr>
      <w:r>
        <w:t xml:space="preserve">IV. Proposed Pedagogical Framework</w:t>
      </w:r>
    </w:p>
    <w:p>
      <w:pPr>
        <w:pStyle w:val="FirstParagraph"/>
      </w:pPr>
      <w:r>
        <w:t xml:space="preserve">To address these challenges, we propose a multi-dimensional framework for professional development tailored to the Moscow context. This framework focuses on three pillars:</w:t>
      </w:r>
    </w:p>
    <w:bookmarkStart w:id="23" w:name="a.-technological-symbiosis"/>
    <w:p>
      <w:pPr>
        <w:pStyle w:val="Heading3"/>
      </w:pPr>
      <w:r>
        <w:t xml:space="preserve">A. Technological Symbiosis</w:t>
      </w:r>
    </w:p>
    <w:p>
      <w:pPr>
        <w:pStyle w:val="FirstParagraph"/>
      </w:pPr>
      <w:r>
        <w:t xml:space="preserve">Rather than replacing traditional methods with digital ones, this pillar advocates for "Technological Symbiosis." Secondary teachers should be trained to use data analytics from learning management systems to identify student gaps in real-time. In Russia, platforms like RESH (Russian Electronic School) are prevalent; teachers must move beyond administrative compliance and utilize these tools for personalized feedback loops.</w:t>
      </w:r>
    </w:p>
    <w:bookmarkEnd w:id="23"/>
    <w:bookmarkStart w:id="24" w:name="Xe389e06e7161bcb0f9e01fedc543cce45890f61"/>
    <w:p>
      <w:pPr>
        <w:pStyle w:val="Heading3"/>
      </w:pPr>
      <w:r>
        <w:t xml:space="preserve">B. Critical Thinking over Rote Memorization</w:t>
      </w:r>
    </w:p>
    <w:p>
      <w:pPr>
        <w:pStyle w:val="FirstParagraph"/>
      </w:pPr>
      <w:r>
        <w:t xml:space="preserve">The traditional Russian secondary education model has historically emphasized rigorous memorization. However, modern employers and universities in Moscow demand critical analysis skills. Teachers should implement inquiry-based learning (IBL) modules where students investigate real-world local issues in Moscow, such as urban sustainability or historical preservation, thereby connecting curriculum to their immediate environment.</w:t>
      </w:r>
    </w:p>
    <w:bookmarkEnd w:id="24"/>
    <w:bookmarkStart w:id="25" w:name="X1d34a25cd5061b545bd45f6b640247f94265549"/>
    <w:p>
      <w:pPr>
        <w:pStyle w:val="Heading3"/>
      </w:pPr>
      <w:r>
        <w:t xml:space="preserve">C. Socio-Emotional Learning (SEL) Integration</w:t>
      </w:r>
    </w:p>
    <w:p>
      <w:pPr>
        <w:pStyle w:val="FirstParagraph"/>
      </w:pPr>
      <w:r>
        <w:t xml:space="preserve">Mental health awareness is growing among Russian youth. Secondary teachers require training in SEL to create inclusive classrooms. This involves recognizing signs of anxiety related to academic performance and fostering a supportive peer-to-peer learning environment.</w:t>
      </w:r>
    </w:p>
    <w:bookmarkEnd w:id="25"/>
    <w:bookmarkEnd w:id="26"/>
    <w:bookmarkStart w:id="27" w:name="X5d3c0871d3967f40a9571b57ff85f1e665c6b4e"/>
    <w:p>
      <w:pPr>
        <w:pStyle w:val="Heading2"/>
      </w:pPr>
      <w:r>
        <w:t xml:space="preserve">V. Implementation Strategy for Moscow Schools</w:t>
      </w:r>
    </w:p>
    <w:p>
      <w:pPr>
        <w:pStyle w:val="FirstParagraph"/>
      </w:pPr>
      <w:r>
        <w:t xml:space="preserve">Successful implementation requires a shift from top-down mandates to collaborative professional communities. We suggest the following steps for school administrators in Russia:</w:t>
      </w:r>
    </w:p>
    <w:p>
      <w:pPr>
        <w:numPr>
          <w:ilvl w:val="0"/>
          <w:numId w:val="1002"/>
        </w:numPr>
        <w:pStyle w:val="Compact"/>
      </w:pPr>
      <w:r>
        <w:rPr>
          <w:bCs/>
          <w:b/>
        </w:rPr>
        <w:t xml:space="preserve">Mentorship Programs:</w:t>
      </w:r>
      <w:r>
        <w:t xml:space="preserve"> </w:t>
      </w:r>
      <w:r>
        <w:t xml:space="preserve">Pair experienced senior teachers with younger educators who possess strong digital competencies but lack classroom management experience. This reciprocal mentorship enhances the overall capacity of the teaching staff.</w:t>
      </w:r>
    </w:p>
    <w:p>
      <w:pPr>
        <w:numPr>
          <w:ilvl w:val="0"/>
          <w:numId w:val="1002"/>
        </w:numPr>
        <w:pStyle w:val="Compact"/>
      </w:pPr>
      <w:r>
        <w:rPr>
          <w:bCs/>
          <w:b/>
        </w:rPr>
        <w:t xml:space="preserve">Pilot Projects:</w:t>
      </w:r>
      <w:r>
        <w:t xml:space="preserve"> </w:t>
      </w:r>
      <w:r>
        <w:t xml:space="preserve">Encourage individual secondary teachers to lead small-scale pilot projects in their departments. For example, a history teacher might experiment with virtual reality tours of Moscow landmarks, while a physics teacher might use coding simulations.</w:t>
      </w:r>
    </w:p>
    <w:p>
      <w:pPr>
        <w:numPr>
          <w:ilvl w:val="0"/>
          <w:numId w:val="1002"/>
        </w:numPr>
        <w:pStyle w:val="Compact"/>
      </w:pPr>
      <w:r>
        <w:rPr>
          <w:bCs/>
          <w:b/>
        </w:rPr>
        <w:t xml:space="preserve">Continuous Feedback Loops:</w:t>
      </w:r>
      <w:r>
        <w:t xml:space="preserve"> </w:t>
      </w:r>
      <w:r>
        <w:t xml:space="preserve">Establish quarterly review sessions where teachers share successes and failures. This reduces the isolation often felt by secondary teachers and builds a sense of collective efficacy.</w:t>
      </w:r>
    </w:p>
    <w:bookmarkEnd w:id="27"/>
    <w:bookmarkStart w:id="28" w:name="v.-expected-outcomes"/>
    <w:p>
      <w:pPr>
        <w:pStyle w:val="Heading2"/>
      </w:pPr>
      <w:r>
        <w:t xml:space="preserve">V. Expected Outcomes</w:t>
      </w:r>
    </w:p>
    <w:p>
      <w:pPr>
        <w:pStyle w:val="FirstParagraph"/>
      </w:pPr>
      <w:r>
        <w:t xml:space="preserve">By adopting this framework, secondary schools in Moscow can expect several positive outcomes:</w:t>
      </w:r>
    </w:p>
    <w:p>
      <w:pPr>
        <w:numPr>
          <w:ilvl w:val="0"/>
          <w:numId w:val="1003"/>
        </w:numPr>
        <w:pStyle w:val="Compact"/>
      </w:pPr>
      <w:r>
        <w:rPr>
          <w:bCs/>
          <w:b/>
        </w:rPr>
        <w:t xml:space="preserve">Enhanced Student Engagement:</w:t>
      </w:r>
      <w:r>
        <w:t xml:space="preserve"> </w:t>
      </w:r>
      <w:r>
        <w:t xml:space="preserve">When teaching methods are relevant and interactive, student participation increases. This is particularly vital for teenagers who value authenticity.</w:t>
      </w:r>
    </w:p>
    <w:p>
      <w:pPr>
        <w:numPr>
          <w:ilvl w:val="0"/>
          <w:numId w:val="1003"/>
        </w:numPr>
        <w:pStyle w:val="Compact"/>
      </w:pPr>
      <w:r>
        <w:rPr>
          <w:bCs/>
          <w:b/>
        </w:rPr>
        <w:t xml:space="preserve">Better EGE Performance with Less Stress:</w:t>
      </w:r>
      <w:r>
        <w:t xml:space="preserve"> </w:t>
      </w:r>
      <w:r>
        <w:t xml:space="preserve">A focus on understanding concepts rather than memorizing facts tends to lead to more sustainable academic performance in standardized tests like the EGE, without necessitating excessive cramming.</w:t>
      </w:r>
    </w:p>
    <w:p>
      <w:pPr>
        <w:numPr>
          <w:ilvl w:val="0"/>
          <w:numId w:val="1003"/>
        </w:numPr>
        <w:pStyle w:val="Compact"/>
      </w:pPr>
      <w:r>
        <w:rPr>
          <w:bCs/>
          <w:b/>
        </w:rPr>
        <w:t xml:space="preserve">Teacher Satisfaction:</w:t>
      </w:r>
      <w:r>
        <w:t xml:space="preserve"> </w:t>
      </w:r>
      <w:r>
        <w:t xml:space="preserve">Providing teachers with modern tools and support systems reduces professional burnout. When educators feel competent and supported, they are more likely to stay in the profession, ensuring stability for students.</w:t>
      </w:r>
    </w:p>
    <w:bookmarkEnd w:id="28"/>
    <w:bookmarkStart w:id="29" w:name="vii.-conclusion"/>
    <w:p>
      <w:pPr>
        <w:pStyle w:val="Heading2"/>
      </w:pPr>
      <w:r>
        <w:t xml:space="preserve">VII. Conclusion</w:t>
      </w:r>
    </w:p>
    <w:p>
      <w:pPr>
        <w:pStyle w:val="FirstParagraph"/>
      </w:pPr>
      <w:r>
        <w:t xml:space="preserve">The role of the secondary teacher in Russia is pivotal. In Moscow, a city that symbolizes both tradition and modernity, educators have a unique opportunity to redefine what quality education looks like. This poster presentation academic document argues that by focusing on technological integration, critical thinking facilitation, and socio-emotional support, we can empower teachers to meet the complex demands of 21st-century education.</w:t>
      </w:r>
    </w:p>
    <w:p>
      <w:pPr>
        <w:pStyle w:val="BodyText"/>
      </w:pPr>
      <w:r>
        <w:t xml:space="preserve">It is imperative that stakeholders in Russia Moscow invest in continuous professional development not just as a regulatory requirement, but as a strategic imperative for national competitiveness. By supporting secondary teachers through robust frameworks and collaborative cultures, we ensure that the next generation of Russians is equipped with the skills, resilience, and creativity needed to thrive globally.</w:t>
      </w:r>
    </w:p>
    <w:p>
      <w:pPr>
        <w:pStyle w:val="BodyText"/>
      </w:pPr>
      <w:r>
        <w:rPr>
          <w:bCs/>
          <w:b/>
        </w:rPr>
        <w:t xml:space="preserve">Keywords:</w:t>
      </w:r>
      <w:r>
        <w:t xml:space="preserve"> </w:t>
      </w:r>
      <w:r>
        <w:t xml:space="preserve">Secondary Education, Teacher Professional Development, Moscow Education System, Russian Pedagogy, Digital Transformation in Schools.</w:t>
      </w:r>
    </w:p>
    <w:p>
      <w:pPr>
        <w:pStyle w:val="BodyText"/>
      </w:pPr>
      <w:r>
        <w:rPr>
          <w:iCs/>
          <w:i/>
        </w:rPr>
        <w:t xml:space="preserve">Contact for further information regarding this poster presentation academic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Teacher Development in Russia, Moscow</dc:title>
  <dc:creator/>
  <dc:language>en</dc:language>
  <cp:keywords/>
  <dcterms:created xsi:type="dcterms:W3CDTF">2026-07-29T14:05:30Z</dcterms:created>
  <dcterms:modified xsi:type="dcterms:W3CDTF">2026-07-29T14:05:30Z</dcterms:modified>
</cp:coreProperties>
</file>

<file path=docProps/custom.xml><?xml version="1.0" encoding="utf-8"?>
<Properties xmlns="http://schemas.openxmlformats.org/officeDocument/2006/custom-properties" xmlns:vt="http://schemas.openxmlformats.org/officeDocument/2006/docPropsVTypes"/>
</file>