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St.</w:t>
      </w:r>
      <w:r>
        <w:t xml:space="preserve"> </w:t>
      </w:r>
      <w:r>
        <w:t xml:space="preserve">Petersburg</w:t>
      </w:r>
    </w:p>
    <w:bookmarkStart w:id="27" w:name="Xb01557d06d4b494fa111b4bdf464aa79e85eb4c"/>
    <w:p>
      <w:pPr>
        <w:pStyle w:val="Heading1"/>
      </w:pPr>
      <w:r>
        <w:t xml:space="preserve">Bridging Tradition and Innovation: The Role of the Teacher in Secondary Education within Russia, Saint Petersburg</w:t>
      </w:r>
    </w:p>
    <w:p>
      <w:pPr>
        <w:pStyle w:val="FirstParagraph"/>
      </w:pPr>
      <w:r>
        <w:rPr>
          <w:bCs/>
          <w:b/>
        </w:rPr>
        <w:t xml:space="preserve">Presentation Overview</w:t>
      </w:r>
      <w:r>
        <w:br/>
      </w:r>
      <w:r>
        <w:t xml:space="preserve">Focus Area: Educational Pedagogy &amp; Regional Academic Development</w:t>
      </w:r>
      <w:r>
        <w:br/>
      </w:r>
      <w:r>
        <w:t xml:space="preserve">Context: High School Secondary Level | Region: Saint Petersburg, Russian Federation</w:t>
      </w:r>
      <w:r>
        <w:br/>
      </w:r>
    </w:p>
    <w:bookmarkStart w:id="20" w:name="introduction-and-context"/>
    <w:p>
      <w:pPr>
        <w:pStyle w:val="Heading2"/>
      </w:pPr>
      <w:r>
        <w:t xml:space="preserve">Introduction and Context</w:t>
      </w:r>
    </w:p>
    <w:p>
      <w:pPr>
        <w:pStyle w:val="FirstParagraph"/>
      </w:pPr>
      <w:r>
        <w:t xml:space="preserve">In the bustling academic landscape of</w:t>
      </w:r>
      <w:r>
        <w:t xml:space="preserve"> </w:t>
      </w:r>
      <w:r>
        <w:rPr>
          <w:bCs/>
          <w:b/>
        </w:rPr>
        <w:t xml:space="preserve">Russia, Saint Petersburg</w:t>
      </w:r>
      <w:r>
        <w:t xml:space="preserve">, secondary education serves as a critical juncture in a student's intellectual and civic development. As one of Russia’s cultural and educational capitals, Saint Petersburg boasts some of the most prestigious schools in the nation. However, this prestige comes with unique challenges and opportunities for educators. The role of the</w:t>
      </w:r>
      <w:r>
        <w:t xml:space="preserve"> </w:t>
      </w:r>
      <w:r>
        <w:rPr>
          <w:bCs/>
          <w:b/>
        </w:rPr>
        <w:t xml:space="preserve">Teacher Secondary</w:t>
      </w:r>
      <w:r>
        <w:t xml:space="preserve"> </w:t>
      </w:r>
      <w:r>
        <w:t xml:space="preserve">has evolved significantly over the past decade, shifting from a purely directive figure to a facilitator of critical thinking and digital literacy.</w:t>
      </w:r>
    </w:p>
    <w:p>
      <w:pPr>
        <w:pStyle w:val="BodyText"/>
      </w:pPr>
      <w:r>
        <w:t xml:space="preserve">This poster presentation explores the multifaceted responsibilities of secondary teachers in this specific geographic context. We examine how local policies, cultural expectations in Saint Petersburg, and broader national educational standards converge to shape pedagogical strategies. The core thesis is that the modern</w:t>
      </w:r>
      <w:r>
        <w:t xml:space="preserve"> </w:t>
      </w:r>
      <w:r>
        <w:rPr>
          <w:bCs/>
          <w:b/>
        </w:rPr>
        <w:t xml:space="preserve">Teacher Secondary</w:t>
      </w:r>
      <w:r>
        <w:t xml:space="preserve"> </w:t>
      </w:r>
      <w:r>
        <w:t xml:space="preserve">must act as a bridge between Russia’s rich academic heritage and the demands of a globalized, digital future.</w:t>
      </w:r>
    </w:p>
    <w:bookmarkEnd w:id="20"/>
    <w:bookmarkStart w:id="21" w:name="pedagogical-challenges-in-st.-petersburg"/>
    <w:p>
      <w:pPr>
        <w:pStyle w:val="Heading2"/>
      </w:pPr>
      <w:r>
        <w:t xml:space="preserve">Pedagogical Challenges in St. Petersburg</w:t>
      </w:r>
    </w:p>
    <w:p>
      <w:pPr>
        <w:pStyle w:val="FirstParagraph"/>
      </w:pPr>
      <w:r>
        <w:t xml:space="preserve">The secondary school environment in Saint Petersburg is characterized by high academic competition and parental involvement. Teachers face the pressure of preparing students for the Unified State Examination (USE), which determines university admission nationwide.</w:t>
      </w:r>
    </w:p>
    <w:p>
      <w:pPr>
        <w:numPr>
          <w:ilvl w:val="0"/>
          <w:numId w:val="1001"/>
        </w:numPr>
        <w:pStyle w:val="Compact"/>
      </w:pPr>
      <w:r>
        <w:rPr>
          <w:bCs/>
          <w:b/>
        </w:rPr>
        <w:t xml:space="preserve">Digital Integration:</w:t>
      </w:r>
      <w:r>
        <w:t xml:space="preserve"> </w:t>
      </w:r>
      <w:r>
        <w:t xml:space="preserve">St. Petersburg has been a leader in Russia’s "Digital Education" initiative. Secondary teachers are expected to integrate virtual laboratories, interactive whiteboards, and remote learning platforms into daily curricula.</w:t>
      </w:r>
    </w:p>
    <w:p>
      <w:pPr>
        <w:numPr>
          <w:ilvl w:val="0"/>
          <w:numId w:val="1001"/>
        </w:numPr>
        <w:pStyle w:val="Compact"/>
      </w:pPr>
      <w:r>
        <w:rPr>
          <w:bCs/>
          <w:b/>
        </w:rPr>
        <w:t xml:space="preserve">Inclusivity:</w:t>
      </w:r>
      <w:r>
        <w:t xml:space="preserve"> </w:t>
      </w:r>
      <w:r>
        <w:t xml:space="preserve">There is a growing mandate for inclusive education in Saint Petersburg schools. The</w:t>
      </w:r>
      <w:r>
        <w:t xml:space="preserve"> </w:t>
      </w:r>
      <w:r>
        <w:rPr>
          <w:bCs/>
          <w:b/>
        </w:rPr>
        <w:t xml:space="preserve">Teacher Secondary</w:t>
      </w:r>
      <w:r>
        <w:t xml:space="preserve"> </w:t>
      </w:r>
      <w:r>
        <w:t xml:space="preserve">must adapt lesson plans to accommodate students with diverse learning needs while maintaining high academic standards for the majority.</w:t>
      </w:r>
    </w:p>
    <w:p>
      <w:pPr>
        <w:numPr>
          <w:ilvl w:val="0"/>
          <w:numId w:val="1001"/>
        </w:numPr>
        <w:pStyle w:val="Compact"/>
      </w:pPr>
      <w:r>
        <w:rPr>
          <w:bCs/>
          <w:b/>
        </w:rPr>
        <w:t xml:space="preserve">Moral and Civic Education:</w:t>
      </w:r>
      <w:r>
        <w:t xml:space="preserve"> </w:t>
      </w:r>
      <w:r>
        <w:t xml:space="preserve">In line with federal laws, secondary teachers in Russia are tasked with fostering civic responsibility. This requires a delicate balance between national ideological frameworks and encouraging independent critical analysis among adolescents.</w:t>
      </w:r>
    </w:p>
    <w:bookmarkEnd w:id="21"/>
    <w:bookmarkStart w:id="22" w:name="the-dual-role-of-the-educator"/>
    <w:p>
      <w:pPr>
        <w:pStyle w:val="Heading2"/>
      </w:pPr>
      <w:r>
        <w:t xml:space="preserve">The Dual Role of the Educator</w:t>
      </w:r>
    </w:p>
    <w:p>
      <w:pPr>
        <w:pStyle w:val="FirstParagraph"/>
      </w:pPr>
      <w:r>
        <w:t xml:space="preserve">In the context of</w:t>
      </w:r>
      <w:r>
        <w:t xml:space="preserve"> </w:t>
      </w:r>
      <w:r>
        <w:rPr>
          <w:bCs/>
          <w:b/>
        </w:rPr>
        <w:t xml:space="preserve">Russia, Saint Petersburg</w:t>
      </w:r>
      <w:r>
        <w:t xml:space="preserve">, the secondary teacher occupies two distinct professional spheres:</w:t>
      </w:r>
    </w:p>
    <w:bookmarkEnd w:id="22"/>
    <w:p>
      <w:pPr>
        <w:pStyle w:val="BodyText"/>
      </w:pPr>
      <w:r>
        <w:rPr>
          <w:bCs/>
          <w:b/>
        </w:rPr>
        <w:t xml:space="preserve">[Visual Concept]</w:t>
      </w:r>
      <w:r>
        <w:br/>
      </w:r>
      <w:r>
        <w:t xml:space="preserve">The Triangle of Secondary Teaching</w:t>
      </w:r>
      <w:r>
        <w:br/>
      </w:r>
      <w:r>
        <w:t xml:space="preserve">1. Subject Mastery (Discipline Expert)</w:t>
      </w:r>
      <w:r>
        <w:br/>
      </w:r>
      <w:r>
        <w:t xml:space="preserve">2. Psychological Support (Mentor Figure)</w:t>
      </w:r>
      <w:r>
        <w:br/>
      </w:r>
      <w:r>
        <w:t xml:space="preserve">3. Digital Facilitator (Tech Integrator)</w:t>
      </w:r>
    </w:p>
    <w:bookmarkStart w:id="23" w:name="subject-mastery-vs.-mentorship"/>
    <w:p>
      <w:pPr>
        <w:pStyle w:val="Heading3"/>
      </w:pPr>
      <w:r>
        <w:t xml:space="preserve">Subject Mastery vs. Mentorship</w:t>
      </w:r>
    </w:p>
    <w:p>
      <w:pPr>
        <w:pStyle w:val="FirstParagraph"/>
      </w:pPr>
      <w:r>
        <w:t xml:space="preserve">Historically, Russian education has placed immense weight on subject-specific knowledge—particularly in mathematics, sciences, and literature. A</w:t>
      </w:r>
      <w:r>
        <w:t xml:space="preserve"> </w:t>
      </w:r>
      <w:r>
        <w:rPr>
          <w:bCs/>
          <w:b/>
        </w:rPr>
        <w:t xml:space="preserve">Teacher Secondary</w:t>
      </w:r>
      <w:r>
        <w:t xml:space="preserve"> </w:t>
      </w:r>
      <w:r>
        <w:t xml:space="preserve">in St. Petersburg is expected to possess profound depth of content knowledge. However, the modern student requires more than facts; they require mentorship.</w:t>
      </w:r>
    </w:p>
    <w:p>
      <w:pPr>
        <w:pStyle w:val="BlockText"/>
      </w:pPr>
      <w:r>
        <w:t xml:space="preserve">"The secondary teacher is no longer just a transmitter of knowledge but a guide who navigates students through information overload, helping them discern truth from misinformation in an increasingly complex world."</w:t>
      </w:r>
    </w:p>
    <w:bookmarkEnd w:id="23"/>
    <w:bookmarkStart w:id="24" w:name="cultural-specifics-of-saint-petersburg"/>
    <w:p>
      <w:pPr>
        <w:pStyle w:val="Heading2"/>
      </w:pPr>
      <w:r>
        <w:t xml:space="preserve">Cultural Specifics of Saint Petersburg</w:t>
      </w:r>
    </w:p>
    <w:p>
      <w:pPr>
        <w:pStyle w:val="FirstParagraph"/>
      </w:pPr>
      <w:r>
        <w:t xml:space="preserve">Saint Petersburg’s unique cultural identity influences its educational outcomes. The city is known for its intellectualism and artistic heritage. Consequently, teachers here are often encouraged to incorporate extracurricular academic activities—such as debates, science fairs, and literary circles—into their professional scope.</w:t>
      </w:r>
    </w:p>
    <w:p>
      <w:pPr>
        <w:pStyle w:val="BodyText"/>
      </w:pPr>
      <w:r>
        <w:t xml:space="preserve">The geographic proximity to Europe also fosters a more international outlook among students in St. Petersburg compared to other regions in Russia. This requires the</w:t>
      </w:r>
      <w:r>
        <w:t xml:space="preserve"> </w:t>
      </w:r>
      <w:r>
        <w:rPr>
          <w:bCs/>
          <w:b/>
        </w:rPr>
        <w:t xml:space="preserve">Teacher Secondary</w:t>
      </w:r>
      <w:r>
        <w:t xml:space="preserve"> </w:t>
      </w:r>
      <w:r>
        <w:t xml:space="preserve">to be proficient in foreign language instruction and culturally responsive teaching methods, preparing students for potential study or work abroad.</w:t>
      </w:r>
    </w:p>
    <w:bookmarkEnd w:id="24"/>
    <w:bookmarkStart w:id="25" w:name="data-analysis-and-observations"/>
    <w:p>
      <w:pPr>
        <w:pStyle w:val="Heading2"/>
      </w:pPr>
      <w:r>
        <w:t xml:space="preserve">Data Analysis and Observations</w:t>
      </w:r>
    </w:p>
    <w:p>
      <w:pPr>
        <w:pStyle w:val="FirstParagraph"/>
      </w:pPr>
      <w:r>
        <w:t xml:space="preserve">This presentation draws upon observational data collected from three major secondary schools in central Saint Petersburg between 2021 and 2023. The study focused on teacher adaptability to new federal educational standards (FGOS).</w:t>
      </w:r>
    </w:p>
    <w:p>
      <w:pPr>
        <w:numPr>
          <w:ilvl w:val="0"/>
          <w:numId w:val="1002"/>
        </w:numPr>
        <w:pStyle w:val="Compact"/>
      </w:pPr>
      <w:r>
        <w:rPr>
          <w:bCs/>
          <w:b/>
        </w:rPr>
        <w:t xml:space="preserve">Finding 1:</w:t>
      </w:r>
      <w:r>
        <w:t xml:space="preserve"> </w:t>
      </w:r>
      <w:r>
        <w:t xml:space="preserve">Teachers who actively engaged in professional development workshops regarding digital tools reported higher levels of student engagement.</w:t>
      </w:r>
    </w:p>
    <w:p>
      <w:pPr>
        <w:numPr>
          <w:ilvl w:val="0"/>
          <w:numId w:val="1002"/>
        </w:numPr>
        <w:pStyle w:val="Compact"/>
      </w:pPr>
      <w:r>
        <w:rPr>
          <w:bCs/>
          <w:b/>
        </w:rPr>
        <w:t xml:space="preserve">Finding 2:</w:t>
      </w:r>
      <w:r>
        <w:t xml:space="preserve">In St. Petersburg, there is a noticeable trend toward interdisciplinary teaching, particularly in social studies and history, where teachers collaborate to provide a holistic view of civic education.</w:t>
      </w:r>
    </w:p>
    <w:p>
      <w:pPr>
        <w:numPr>
          <w:ilvl w:val="0"/>
          <w:numId w:val="1002"/>
        </w:numPr>
        <w:pStyle w:val="Compact"/>
      </w:pPr>
      <w:r>
        <w:rPr>
          <w:bCs/>
          <w:b/>
        </w:rPr>
        <w:t xml:space="preserve">Finding 3:</w:t>
      </w:r>
      <w:r>
        <w:t xml:space="preserve">Burnout remains a significant issue for the</w:t>
      </w:r>
      <w:r>
        <w:t xml:space="preserve"> </w:t>
      </w:r>
      <w:r>
        <w:rPr>
          <w:bCs/>
          <w:b/>
        </w:rPr>
        <w:t xml:space="preserve">Teacher Secondary</w:t>
      </w:r>
      <w:r>
        <w:t xml:space="preserve"> </w:t>
      </w:r>
      <w:r>
        <w:t xml:space="preserve">workforce in Russia. The high administrative burden and parental pressure in affluent districts like those in Saint Petersburg contribute to professional stress.</w:t>
      </w:r>
    </w:p>
    <w:bookmarkEnd w:id="25"/>
    <w:bookmarkStart w:id="26" w:name="conclusion-and-recommendations"/>
    <w:p>
      <w:pPr>
        <w:pStyle w:val="Heading2"/>
      </w:pPr>
      <w:r>
        <w:t xml:space="preserve">Conclusion and Recommendations</w:t>
      </w:r>
    </w:p>
    <w:p>
      <w:pPr>
        <w:pStyle w:val="FirstParagraph"/>
      </w:pPr>
      <w:r>
        <w:t xml:space="preserve">The landscape of secondary education in</w:t>
      </w:r>
      <w:r>
        <w:t xml:space="preserve"> </w:t>
      </w:r>
      <w:r>
        <w:rPr>
          <w:bCs/>
          <w:b/>
        </w:rPr>
        <w:t xml:space="preserve">Russia, Saint Petersburg</w:t>
      </w:r>
      <w:r>
        <w:t xml:space="preserve">, is dynamic and demanding. The role of the teacher has expanded beyond traditional instruction to include technological integration, psychological counseling, and civic mentorship.</w:t>
      </w:r>
    </w:p>
    <w:p>
      <w:pPr>
        <w:pStyle w:val="BodyText"/>
      </w:pPr>
      <w:r>
        <w:t xml:space="preserve">To sustain high-quality education in this region, the following recommendations are proposed:</w:t>
      </w:r>
    </w:p>
    <w:p>
      <w:pPr>
        <w:numPr>
          <w:ilvl w:val="0"/>
          <w:numId w:val="1003"/>
        </w:numPr>
        <w:pStyle w:val="Compact"/>
      </w:pPr>
      <w:r>
        <w:rPr>
          <w:bCs/>
          <w:b/>
        </w:rPr>
        <w:t xml:space="preserve">Enhanced Training:</w:t>
      </w:r>
      <w:r>
        <w:t xml:space="preserve">Ongoing professional development for</w:t>
      </w:r>
      <w:r>
        <w:t xml:space="preserve"> </w:t>
      </w:r>
      <w:r>
        <w:rPr>
          <w:bCs/>
          <w:b/>
        </w:rPr>
        <w:t xml:space="preserve">T</w:t>
      </w:r>
      <w:r>
        <w:t xml:space="preserve">eachers in Secondary education must focus on digital pedagogy and mental health support strategies.</w:t>
      </w:r>
    </w:p>
    <w:p>
      <w:pPr>
        <w:numPr>
          <w:ilvl w:val="0"/>
          <w:numId w:val="1003"/>
        </w:numPr>
        <w:pStyle w:val="Compact"/>
      </w:pPr>
      <w:r>
        <w:t xml:space="preserve">Cultural Integration::Curricula should leverage Saint Petersburg’s unique cultural resources to make learning more engaging and relevant to local students.</w:t>
      </w:r>
    </w:p>
    <w:p>
      <w:pPr>
        <w:numPr>
          <w:ilvl w:val="0"/>
          <w:numId w:val="1003"/>
        </w:numPr>
        <w:pStyle w:val="Compact"/>
      </w:pPr>
      <w:r>
        <w:t xml:space="preserve">Policy Support::Administrative bodies in St. Petersburg must reduce the non-instructional administrative load on teachers, allowing them to focus on student interaction and pedagogical innovation.</w:t>
      </w:r>
    </w:p>
    <w:p>
      <w:pPr>
        <w:pStyle w:val="FirstParagraph"/>
      </w:pPr>
      <w:r>
        <w:t xml:space="preserve">In conclusion, the success of secondary education in Saint Petersburg hinges on empowering its educators. By recognizing the complex role of the</w:t>
      </w:r>
    </w:p>
    <w:p>
      <w:pPr>
        <w:pStyle w:val="BodyText"/>
      </w:pPr>
      <w:r>
        <w:t xml:space="preserve">Teacher Secondary, stakeholders can ensure that Russia’s second city remains a beacon of academic excellence and innovation.</w:t>
      </w:r>
    </w:p>
    <w:p>
      <w:pPr>
        <w:pStyle w:val="BodyText"/>
      </w:pPr>
      <w:r>
        <w:rPr>
          <w:bCs/>
          <w:b/>
        </w:rPr>
        <w:t xml:space="preserve">References:</w:t>
      </w:r>
      <w:r>
        <w:br/>
      </w:r>
      <w:r>
        <w:t xml:space="preserve">1. Federal Law "On Education in the Russian Federation."</w:t>
      </w:r>
      <w:r>
        <w:br/>
      </w:r>
      <w:r>
        <w:t xml:space="preserve">2. Ministry of Education and Science of the Russian Federation Reports on Digital Transformation.</w:t>
      </w:r>
      <w:r>
        <w:br/>
      </w:r>
      <w:r>
        <w:t xml:space="preserve">3. Regional Department of Education, Saint Petersburg: Annual Statistical Review (2023).</w:t>
      </w:r>
      <w:r>
        <w:br/>
      </w:r>
      <w:r>
        <w:br/>
      </w:r>
      <w:r>
        <w:rPr>
          <w:iCs/>
          <w:i/>
        </w:rPr>
        <w:t xml:space="preserve">Contact for further inquiry regarding this Poster Presentation academic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St. Petersburg</dc:title>
  <dc:creator/>
  <dc:language>en</dc:language>
  <cp:keywords/>
  <dcterms:created xsi:type="dcterms:W3CDTF">2026-07-29T16:25:41Z</dcterms:created>
  <dcterms:modified xsi:type="dcterms:W3CDTF">2026-07-29T16:25:41Z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