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Singapore's</w:t>
      </w:r>
      <w:r>
        <w:t xml:space="preserve"> </w:t>
      </w:r>
      <w:r>
        <w:t xml:space="preserve">Educational</w:t>
      </w:r>
      <w:r>
        <w:t xml:space="preserve"> </w:t>
      </w:r>
      <w:r>
        <w:t xml:space="preserve">Ecosystem</w:t>
      </w:r>
    </w:p>
    <w:p>
      <w:pPr>
        <w:pStyle w:val="FirstParagraph"/>
      </w:pPr>
      <w:r>
        <w:t xml:space="preserve">```html</w:t>
      </w:r>
    </w:p>
    <w:bookmarkStart w:id="20" w:name="Xae9c75eb161df791287353cb29a22beef785221"/>
    <w:p>
      <w:pPr>
        <w:pStyle w:val="Heading1"/>
      </w:pPr>
      <w:r>
        <w:t xml:space="preserve">The Role of Secondary Teachers in Singapore's Educational Ecosystem</w:t>
      </w:r>
    </w:p>
    <w:p>
      <w:pPr>
        <w:pStyle w:val="FirstParagraph"/>
      </w:pPr>
      <w:r>
        <w:rPr>
          <w:bCs/>
          <w:b/>
        </w:rPr>
        <w:t xml:space="preserve">A Poster Presentation on Pedagogical Excellence, Student-Centered Learning, and Institutional Support in Singapore</w:t>
      </w:r>
    </w:p>
    <w:bookmarkEnd w:id="20"/>
    <w:bookmarkStart w:id="21" w:name="introduction"/>
    <w:p>
      <w:pPr>
        <w:pStyle w:val="Heading2"/>
      </w:pPr>
      <w:r>
        <w:t xml:space="preserve">1. Introduction</w:t>
      </w:r>
    </w:p>
    <w:p>
      <w:pPr>
        <w:pStyle w:val="FirstParagraph"/>
      </w:pPr>
      <w:r>
        <w:t xml:space="preserve">Singapore’s education system is globally recognized for its rigorous standards, high academic achievement, and continuous innovation. At the heart of this success story lies the secondary teacher—a pivotal figure who bridges foundational primary education with specialized pre-university pathways or vocational training. In Singapore Secondary schools (ages 13–17), teachers are not merely conveyors of knowledge but facilitators of holistic development, critical thinking, and character building. This presentation examines how secondary teachers in Singapore navigate the complexities of diverse student needs while aligning with national educational goals such as</w:t>
      </w:r>
      <w:r>
        <w:t xml:space="preserve"> </w:t>
      </w:r>
      <w:r>
        <w:rPr>
          <w:iCs/>
          <w:i/>
        </w:rPr>
        <w:t xml:space="preserve">Student Wellness</w:t>
      </w:r>
      <w:r>
        <w:t xml:space="preserve">,</w:t>
      </w:r>
      <w:r>
        <w:t xml:space="preserve"> </w:t>
      </w:r>
      <w:r>
        <w:rPr>
          <w:bCs/>
          <w:b/>
        </w:rPr>
        <w:t xml:space="preserve">Citizenship Education</w:t>
      </w:r>
      <w:r>
        <w:t xml:space="preserve">, and</w:t>
      </w:r>
      <w:r>
        <w:t xml:space="preserve"> </w:t>
      </w:r>
      <w:r>
        <w:rPr>
          <w:bCs/>
          <w:b/>
        </w:rPr>
        <w:t xml:space="preserve">Future-Readiness.</w:t>
      </w:r>
    </w:p>
    <w:bookmarkEnd w:id="21"/>
    <w:p>
      <w:pPr>
        <w:pStyle w:val="BodyText"/>
      </w:pPr>
      <w:r>
        <w:br/>
      </w:r>
      <w:r>
        <w:t xml:space="preserve">section style="padding20px;"&gt;</w:t>
      </w:r>
    </w:p>
    <w:bookmarkStart w:id="22" w:name="X50f6cda187238c3c262aacc55244ab8c0008453"/>
    <w:p>
      <w:pPr>
        <w:pStyle w:val="Heading2"/>
      </w:pPr>
      <w:r>
        <w:t xml:space="preserve">2. Contextualizing Secondary Education in Singapore</w:t>
      </w:r>
    </w:p>
    <w:p>
      <w:pPr>
        <w:pStyle w:val="FirstParagraph"/>
      </w:pPr>
      <w:r>
        <w:t xml:space="preserve">The secondary school phase in Singapore is a transitional period marked by significant academic pressure and identity formation. Students undergo the 'O-Level' or 'N-Level' examinations, which determine their entry into junior colleges (JC), polytechnics, or institute of technical education (ITE). Within this high-stakes environment, Secondary Teachers play a crucial role in:</w:t>
      </w:r>
    </w:p>
    <w:p>
      <w:pPr>
        <w:numPr>
          <w:ilvl w:val="0"/>
          <w:numId w:val="1001"/>
        </w:numPr>
        <w:pStyle w:val="Compact"/>
      </w:pPr>
      <w:r>
        <w:rPr>
          <w:bCs/>
          <w:b/>
        </w:rPr>
        <w:t xml:space="preserve">Academic Rigor vs. Well-being Balance:</w:t>
      </w:r>
      <w:r>
        <w:t xml:space="preserve"> </w:t>
      </w:r>
      <w:r>
        <w:t xml:space="preserve">Ensuring students meet national curriculum standards while maintaining mental health and emotional resilience.</w:t>
      </w:r>
    </w:p>
    <w:p>
      <w:pPr>
        <w:numPr>
          <w:ilvl w:val="0"/>
          <w:numId w:val="1001"/>
        </w:numPr>
        <w:pStyle w:val="Compact"/>
      </w:pPr>
      <w:r>
        <w:rPr>
          <w:bCs/>
          <w:b/>
        </w:rPr>
        <w:t xml:space="preserve">Differentiated Instruction:</w:t>
      </w:r>
      <w:r>
        <w:t xml:space="preserve"> </w:t>
      </w:r>
      <w:r>
        <w:t xml:space="preserve">Catering to varied learning abilities across Express, Normal (Academic), and Normal (Technical) streams, which were historically segregated but are now transitioning toward subject-based banding for greater inclusivity.</w:t>
      </w:r>
    </w:p>
    <w:p>
      <w:pPr>
        <w:numPr>
          <w:ilvl w:val="0"/>
          <w:numId w:val="1001"/>
        </w:numPr>
        <w:pStyle w:val="Compact"/>
      </w:pPr>
      <w:r>
        <w:rPr>
          <w:bCs/>
          <w:b/>
        </w:rPr>
        <w:t xml:space="preserve">Cyber Wellness and Digital Literacy:</w:t>
      </w:r>
      <w:r>
        <w:t xml:space="preserve"> </w:t>
      </w:r>
      <w:r>
        <w:t xml:space="preserve">Guiding students through the challenges of social media usage, cyberbullying, and information literacy in an increasingly digital society.</w:t>
      </w:r>
    </w:p>
    <w:p>
      <w:pPr>
        <w:pStyle w:val="FirstParagraph"/>
      </w:pPr>
      <w:r>
        <w:br/>
      </w:r>
      <w:r>
        <w:t xml:space="preserve">section style="padding20px;"&gt;</w:t>
      </w:r>
    </w:p>
    <w:bookmarkEnd w:id="22"/>
    <w:bookmarkStart w:id="26" w:name="Xfa570e57e3f9b09df3e12e8a7f0731aff73abfe"/>
    <w:p>
      <w:pPr>
        <w:pStyle w:val="Heading2"/>
      </w:pPr>
      <w:r>
        <w:t xml:space="preserve">3. Pedagogical Strategies Employed by Secondary Teachers</w:t>
      </w:r>
    </w:p>
    <w:p>
      <w:pPr>
        <w:pStyle w:val="FirstParagraph"/>
      </w:pPr>
      <w:r>
        <w:t xml:space="preserve">To address these contextual demands, secondary teachers in Singapore adopt several evidence-based pedagogical approaches:</w:t>
      </w:r>
    </w:p>
    <w:bookmarkStart w:id="23" w:name="a.-inquiry-based-learning-ibl"/>
    <w:p>
      <w:pPr>
        <w:pStyle w:val="Heading4"/>
      </w:pPr>
      <w:r>
        <w:t xml:space="preserve">a. Inquiry-Based Learning (IBL)</w:t>
      </w:r>
    </w:p>
    <w:p>
      <w:pPr>
        <w:pStyle w:val="FirstParagraph"/>
      </w:pPr>
      <w:r>
        <w:t xml:space="preserve">In alignment with the Ministry of Education’s (MOE) emphasis on deep learning, Secondary Teachers utilize inquiry-based methods to foster curiosity and problem-solving skills. Rather than rote memorization, lessons are designed around open-ended questions that require students to conduct research, analyze data, and present findings. This approach is particularly effective in subjects like Science and Humanities.</w:t>
      </w:r>
    </w:p>
    <w:bookmarkEnd w:id="23"/>
    <w:bookmarkStart w:id="24" w:name="b.-values-in-action-via-integration"/>
    <w:p>
      <w:pPr>
        <w:pStyle w:val="Heading4"/>
      </w:pPr>
      <w:r>
        <w:t xml:space="preserve">b. Values in Action (VIA) Integration</w:t>
      </w:r>
    </w:p>
    <w:p>
      <w:pPr>
        <w:pStyle w:val="FirstParagraph"/>
      </w:pPr>
      <w:r>
        <w:t xml:space="preserve">Singapore places a strong emphasis on character development through its National Education framework Secondary teachers integrate Values-in-Action (VIA) projects into the curriculum, encouraging students to engage in community service. This fosters empathy, social responsibility, and civic awareness—key attributes of a responsible citizen.</w:t>
      </w:r>
    </w:p>
    <w:bookmarkEnd w:id="24"/>
    <w:bookmarkStart w:id="25" w:name="c.-technology-enhanced-learning"/>
    <w:p>
      <w:pPr>
        <w:pStyle w:val="Heading4"/>
      </w:pPr>
      <w:r>
        <w:t xml:space="preserve">c. Technology-Enhanced Learning</w:t>
      </w:r>
    </w:p>
    <w:p>
      <w:pPr>
        <w:pStyle w:val="FirstParagraph"/>
      </w:pPr>
      <w:r>
        <w:t xml:space="preserve">The application of digital tools is central to modern secondary education in Singapore Platforms such as Google Classroom, Kahoot!, and AI-driven adaptive learning systems are widely used. Secondary Teachers act as mentors in this digital space, teaching students how to critically evaluate online sources and collaborate effectively in virtual environments.</w:t>
      </w:r>
    </w:p>
    <w:p>
      <w:pPr>
        <w:pStyle w:val="BodyText"/>
      </w:pPr>
      <w:r>
        <w:br/>
      </w:r>
      <w:r>
        <w:t xml:space="preserve">section style="padding20px;"&gt;</w:t>
      </w:r>
    </w:p>
    <w:bookmarkEnd w:id="25"/>
    <w:bookmarkEnd w:id="26"/>
    <w:bookmarkStart w:id="30" w:name="X5a46f209b1850a4d0bd5d69fd9728c4df5483fa"/>
    <w:p>
      <w:pPr>
        <w:pStyle w:val="Heading2"/>
      </w:pPr>
      <w:r>
        <w:t xml:space="preserve">4. Institutional Support and Professional Development</w:t>
      </w:r>
    </w:p>
    <w:p>
      <w:pPr>
        <w:pStyle w:val="FirstParagraph"/>
      </w:pPr>
      <w:r>
        <w:t xml:space="preserve">The effectiveness of secondary teachers in Singapore is significantly bolstered by robust institutional support mechanisms provided by the Ministry of Education (MOE) and various educational institutions.</w:t>
      </w:r>
    </w:p>
    <w:bookmarkStart w:id="27" w:name="X21ad3c51054413ef7a485a3a2d627da4697ba73"/>
    <w:p>
      <w:pPr>
        <w:pStyle w:val="Heading4"/>
      </w:pPr>
      <w:r>
        <w:t xml:space="preserve">a. Continuous Professional Development (CPD)</w:t>
      </w:r>
    </w:p>
    <w:p>
      <w:pPr>
        <w:pStyle w:val="FirstParagraph"/>
      </w:pPr>
      <w:r>
        <w:t xml:space="preserve">All Secondary Teachers are required to engage in ongoing professional development programs organized through the National Institute of Education (NIE). These workshops focus on emerging trends such as artificial intelligence in education, inclusive teaching practices for students with special educational needs (SEN), and trauma-informed pedagogy.</w:t>
      </w:r>
    </w:p>
    <w:bookmarkEnd w:id="27"/>
    <w:bookmarkStart w:id="28" w:name="b.-mentoring-and-collegial-support"/>
    <w:p>
      <w:pPr>
        <w:pStyle w:val="Heading4"/>
      </w:pPr>
      <w:r>
        <w:t xml:space="preserve">b. Mentoring and Collegial Support</w:t>
      </w:r>
    </w:p>
    <w:p>
      <w:pPr>
        <w:pStyle w:val="FirstParagraph"/>
      </w:pPr>
      <w:r>
        <w:t xml:space="preserve">New secondary teachers are paired with experienced mentors who provide guidance on classroom management, lesson planning, and student counseling. Additionally, schools have established Learning Communities where teachers collaborate on cross-disciplinary projects, sharing best practices and resources.</w:t>
      </w:r>
    </w:p>
    <w:bookmarkEnd w:id="28"/>
    <w:bookmarkStart w:id="29" w:name="c.-well-being-initiatives"/>
    <w:p>
      <w:pPr>
        <w:pStyle w:val="Heading4"/>
      </w:pPr>
      <w:r>
        <w:t xml:space="preserve">c. Well-being Initiatives</w:t>
      </w:r>
    </w:p>
    <w:p>
      <w:pPr>
        <w:pStyle w:val="FirstParagraph"/>
      </w:pPr>
      <w:r>
        <w:t xml:space="preserve">Recognizing the high workload associated with secondary education, MOE has implemented initiatives to support teacher well-being. These include reduced administrative burdens, access to counseling services for staff, and recognition programs that celebrate teaching excellence.</w:t>
      </w:r>
    </w:p>
    <w:p>
      <w:pPr>
        <w:pStyle w:val="BodyText"/>
      </w:pPr>
      <w:r>
        <w:br/>
      </w:r>
      <w:r>
        <w:t xml:space="preserve">section style="padding20px;"&gt;</w:t>
      </w:r>
    </w:p>
    <w:bookmarkEnd w:id="29"/>
    <w:bookmarkEnd w:id="30"/>
    <w:bookmarkStart w:id="31" w:name="X463371d31631f2a237818ab1a58f5d362f322a1"/>
    <w:p>
      <w:pPr>
        <w:pStyle w:val="Heading2"/>
      </w:pPr>
      <w:r>
        <w:t xml:space="preserve">5. Challenges Facing Secondary Teachers in Singapore</w:t>
      </w:r>
    </w:p>
    <w:p>
      <w:pPr>
        <w:pStyle w:val="FirstParagraph"/>
      </w:pPr>
      <w:r>
        <w:t xml:space="preserve">Despite strong support structures, secondary teachers in Singapore face several persistent challenges:</w:t>
      </w:r>
    </w:p>
    <w:p>
      <w:pPr>
        <w:numPr>
          <w:ilvl w:val="0"/>
          <w:numId w:val="1002"/>
        </w:numPr>
        <w:pStyle w:val="Compact"/>
      </w:pPr>
      <w:r>
        <w:rPr>
          <w:bCs/>
          <w:b/>
        </w:rPr>
        <w:t xml:space="preserve">Burnout and Workload Management:</w:t>
      </w:r>
      <w:r>
        <w:t xml:space="preserve"> </w:t>
      </w:r>
      <w:r>
        <w:t xml:space="preserve">The dual role of teaching and pastoral care can lead to burnout. Balancing lesson preparation with student counseling remains a significant challenge.</w:t>
      </w:r>
    </w:p>
    <w:p>
      <w:pPr>
        <w:numPr>
          <w:ilvl w:val="0"/>
          <w:numId w:val="1002"/>
        </w:numPr>
        <w:pStyle w:val="Compact"/>
      </w:pPr>
      <w:r>
        <w:rPr>
          <w:bCs/>
          <w:b/>
        </w:rPr>
        <w:t xml:space="preserve">Parental Expectations:</w:t>
      </w:r>
      <w:r>
        <w:t xml:space="preserve"> </w:t>
      </w:r>
      <w:r>
        <w:t xml:space="preserve">In a competitive society, parents often have high academic expectations. Teachers must navigate these pressures while advocating for balanced development and mental health.</w:t>
      </w:r>
    </w:p>
    <w:p>
      <w:pPr>
        <w:numPr>
          <w:ilvl w:val="0"/>
          <w:numId w:val="1002"/>
        </w:numPr>
        <w:pStyle w:val="Compact"/>
      </w:pPr>
      <w:r>
        <w:t xml:space="preserve">Diverse Student Needs:</w:t>
      </w:r>
    </w:p>
    <w:p>
      <w:pPr>
        <w:pStyle w:val="FirstParagraph"/>
      </w:pPr>
      <w:r>
        <w:br/>
      </w:r>
      <w:r>
        <w:t xml:space="preserve">section style="padding20px;"&gt;</w:t>
      </w:r>
    </w:p>
    <w:bookmarkEnd w:id="31"/>
    <w:bookmarkStart w:id="32" w:name="recommendations-and-future-directions"/>
    <w:p>
      <w:pPr>
        <w:pStyle w:val="Heading2"/>
      </w:pPr>
      <w:r>
        <w:t xml:space="preserve">6. Recommendations and Future Directions</w:t>
      </w:r>
    </w:p>
    <w:p>
      <w:pPr>
        <w:pStyle w:val="FirstParagraph"/>
      </w:pPr>
      <w:r>
        <w:t xml:space="preserve">To enhance the efficacy of secondary teachers in Singapore, the following recommendations are proposed:</w:t>
      </w:r>
    </w:p>
    <w:p>
      <w:pPr>
        <w:numPr>
          <w:ilvl w:val="0"/>
          <w:numId w:val="1003"/>
        </w:numPr>
        <w:pStyle w:val="Compact"/>
      </w:pPr>
      <w:r>
        <w:rPr>
          <w:bCs/>
          <w:b/>
        </w:rPr>
        <w:t xml:space="preserve">Enhance AI Integration Training:</w:t>
      </w:r>
    </w:p>
    <w:p>
      <w:pPr>
        <w:numPr>
          <w:ilvl w:val="0"/>
          <w:numId w:val="1003"/>
        </w:numPr>
        <w:pStyle w:val="Compact"/>
      </w:pPr>
      <w:r>
        <w:t xml:space="preserve">Strengthen Mental Health Support Systems:: Establish dedicated counseling hours within school schedules so that teachers can focus on instruction without compromising their own well-being or neglecting student support.</w:t>
      </w:r>
    </w:p>
    <w:p>
      <w:pPr>
        <w:numPr>
          <w:ilvl w:val="0"/>
          <w:numId w:val="1003"/>
        </w:numPr>
        <w:pStyle w:val="Compact"/>
      </w:pPr>
      <w:r>
        <w:t xml:space="preserve">Promote Cross-Sector Collaboration:: Encourage partnerships between secondary schools, industries, and community organizations to provide real-world learning experiences for students, thereby enriching the teaching context.</w:t>
      </w:r>
    </w:p>
    <w:p>
      <w:pPr>
        <w:pStyle w:val="FirstParagraph"/>
      </w:pPr>
      <w:r>
        <w:br/>
      </w:r>
      <w:r>
        <w:t xml:space="preserve">section style="padding20px;"&gt;</w:t>
      </w:r>
    </w:p>
    <w:bookmarkEnd w:id="32"/>
    <w:bookmarkStart w:id="33" w:name="conclusion"/>
    <w:p>
      <w:pPr>
        <w:pStyle w:val="Heading2"/>
      </w:pPr>
      <w:r>
        <w:t xml:space="preserve">7. Conclusion</w:t>
      </w:r>
    </w:p>
    <w:p>
      <w:pPr>
        <w:pStyle w:val="FirstParagraph"/>
      </w:pPr>
      <w:r>
        <w:t xml:space="preserve">The secondary teacher in Singapore is a cornerstone of the nation’s educational success. By balancing academic rigor with holistic development, leveraging technology, and participating in continuous professional growth, these educators shape the future leaders of society. However addressing challenges related to workload mental health and diverse student needs remains critical for sustaining this high-performance ecosystem. As Singapore moves towards its Smart Nation vision secondary teachers must continue to adapt innovate and lead the way in creating inclusive resilient learning environments.</w:t>
      </w:r>
    </w:p>
    <w:p>
      <w:pPr>
        <w:pStyle w:val="BodyText"/>
      </w:pPr>
      <w:r>
        <w:br/>
      </w:r>
    </w:p>
    <w:p>
      <w:pPr>
        <w:pStyle w:val="BodyText"/>
      </w:pPr>
      <w:r>
        <w:t xml:space="preserve">© 2024 Academic Poster Presentation. All Rights Reserved.</w:t>
      </w:r>
    </w:p>
    <w:p>
      <w:pPr>
        <w:pStyle w:val="BodyText"/>
      </w:pPr>
      <w:r>
        <w:rPr>
          <w:iCs/>
          <w:i/>
        </w:rPr>
        <w:t xml:space="preserve">Contact: academic.poster@singapore-education.org</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Secondary Teachers in Singapore's Educational Ecosystem</dc:title>
  <dc:creator/>
  <dc:language>en</dc:language>
  <cp:keywords/>
  <dcterms:created xsi:type="dcterms:W3CDTF">2026-07-29T21:28:48Z</dcterms:created>
  <dcterms:modified xsi:type="dcterms:W3CDTF">2026-07-29T21:28:48Z</dcterms:modified>
</cp:coreProperties>
</file>

<file path=docProps/custom.xml><?xml version="1.0" encoding="utf-8"?>
<Properties xmlns="http://schemas.openxmlformats.org/officeDocument/2006/custom-properties" xmlns:vt="http://schemas.openxmlformats.org/officeDocument/2006/docPropsVTypes"/>
</file>