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32" w:name="X5724a9ad11b4f7f616f5499630a572f9e51652b"/>
    <w:p>
      <w:pPr>
        <w:pStyle w:val="Heading1"/>
      </w:pPr>
      <w:r>
        <w:t xml:space="preserve">Educational Resilience and Pedagogical Innovation</w:t>
      </w:r>
    </w:p>
    <w:p>
      <w:pPr>
        <w:pStyle w:val="FirstParagraph"/>
      </w:pPr>
      <w:r>
        <w:t xml:space="preserve">Strategies for the Modern Secondary Teacher in Sudan Khartoum</w:t>
      </w:r>
    </w:p>
    <w:p>
      <w:pPr>
        <w:pStyle w:val="BodyText"/>
      </w:pPr>
      <w:r>
        <w:rPr>
          <w:bCs/>
          <w:b/>
        </w:rPr>
        <w:t xml:space="preserve">Presented by:</w:t>
      </w:r>
      <w:r>
        <w:t xml:space="preserve"> </w:t>
      </w:r>
      <w:r>
        <w:t xml:space="preserve">Department of Educational Research, University of Khartoum</w:t>
      </w:r>
      <w:r>
        <w:br/>
      </w:r>
      <w:r>
        <w:rPr>
          <w:bCs/>
          <w:b/>
        </w:rPr>
        <w:t xml:space="preserve">Date:</w:t>
      </w:r>
      <w:r>
        <w:t xml:space="preserve"> </w:t>
      </w:r>
      <w:r>
        <w:t xml:space="preserve">October 2023 |</w:t>
      </w:r>
      <w:r>
        <w:t xml:space="preserve"> </w:t>
      </w:r>
      <w:r>
        <w:rPr>
          <w:bCs/>
          <w:b/>
        </w:rPr>
        <w:t xml:space="preserve">Contact:</w:t>
      </w:r>
    </w:p>
    <w:bookmarkStart w:id="22" w:name="introduction"/>
    <w:p>
      <w:pPr>
        <w:pStyle w:val="Heading2"/>
      </w:pPr>
      <w:r>
        <w:t xml:space="preserve">Introduction</w:t>
      </w:r>
    </w:p>
    <w:p>
      <w:pPr>
        <w:pStyle w:val="FirstParagraph"/>
      </w:pPr>
      <w:r>
        <w:rPr>
          <w:bCs/>
          <w:b/>
        </w:rPr>
        <w:t xml:space="preserve">Context of Sudan Khartoum:</w:t>
      </w:r>
    </w:p>
    <w:p>
      <w:pPr>
        <w:pStyle w:val="BodyText"/>
      </w:pPr>
      <w:r>
        <w:t xml:space="preserve">The capital city, Sudan Khartoum, stands as the educational heartland of the nation. However, it faces unique challenges including rapid urbanization, resource constraints, and the lingering effects of recent geopolitical instability on school infrastructure.</w:t>
      </w:r>
    </w:p>
    <w:bookmarkStart w:id="20" w:name="the-role-of-the-teacher"/>
    <w:p>
      <w:pPr>
        <w:pStyle w:val="Heading3"/>
      </w:pPr>
      <w:r>
        <w:t xml:space="preserve">The Role of the Teacher</w:t>
      </w:r>
    </w:p>
    <w:p>
      <w:pPr>
        <w:pStyle w:val="FirstParagraph"/>
      </w:pPr>
      <w:r>
        <w:t xml:space="preserve">In this complex environment, the Secondary Teacher is not merely an instructor but a stabilizer. The secondary education phase (ages 15-18) is critical for national development. The teacher in Sudan Khartoum must navigate:</w:t>
      </w:r>
    </w:p>
    <w:p>
      <w:pPr>
        <w:numPr>
          <w:ilvl w:val="0"/>
          <w:numId w:val="1001"/>
        </w:numPr>
        <w:pStyle w:val="Compact"/>
      </w:pPr>
      <w:r>
        <w:t xml:space="preserve">Crowded classroom dynamics.</w:t>
      </w:r>
    </w:p>
    <w:p>
      <w:pPr>
        <w:numPr>
          <w:ilvl w:val="0"/>
          <w:numId w:val="1001"/>
        </w:numPr>
        <w:pStyle w:val="Compact"/>
      </w:pPr>
      <w:r>
        <w:t xml:space="preserve">Digital divide issues.</w:t>
      </w:r>
    </w:p>
    <w:p>
      <w:pPr>
        <w:numPr>
          <w:ilvl w:val="0"/>
          <w:numId w:val="1001"/>
        </w:numPr>
        <w:pStyle w:val="Compact"/>
      </w:pPr>
      <w:r>
        <w:t xml:space="preserve">Socio-political sensitivities in curriculum delivery.</w:t>
      </w:r>
    </w:p>
    <w:bookmarkEnd w:id="20"/>
    <w:bookmarkStart w:id="21" w:name="problem-statement"/>
    <w:p>
      <w:pPr>
        <w:pStyle w:val="Heading3"/>
      </w:pPr>
      <w:r>
        <w:t xml:space="preserve">Problem Statement</w:t>
      </w:r>
    </w:p>
    <w:p>
      <w:pPr>
        <w:pStyle w:val="FirstParagraph"/>
      </w:pPr>
      <w:r>
        <w:t xml:space="preserve">Traditional rote-learning methods are insufficient for the modern workforce. There is an urgent need to redefine the competency framework for Secondary Teachers to ensure they can foster critical thinking and resilience among students in Sudan Khartoum.</w:t>
      </w:r>
    </w:p>
    <w:p>
      <w:pPr>
        <w:pStyle w:val="BodyText"/>
      </w:pPr>
      <w:r>
        <w:rPr>
          <w:bCs/>
          <w:b/>
        </w:rPr>
        <w:t xml:space="preserve">Key Objective:</w:t>
      </w:r>
      <w:r>
        <w:br/>
      </w:r>
      <w:r>
        <w:t xml:space="preserve">To analyze effective pedagogical strategies that enhance student engagement and academic performance in Secondary Schools within Sudan Khartoum.</w:t>
      </w:r>
    </w:p>
    <w:bookmarkEnd w:id="21"/>
    <w:bookmarkEnd w:id="22"/>
    <w:bookmarkStart w:id="27" w:name="methodology-data-analysis"/>
    <w:p>
      <w:pPr>
        <w:pStyle w:val="Heading2"/>
      </w:pPr>
      <w:r>
        <w:t xml:space="preserve">Methodology &amp; Data Analysis</w:t>
      </w:r>
    </w:p>
    <w:p>
      <w:pPr>
        <w:pStyle w:val="FirstParagraph"/>
      </w:pPr>
      <w:r>
        <w:rPr>
          <w:bCs/>
          <w:b/>
        </w:rPr>
        <w:t xml:space="preserve">Mixed-Methods Approach:</w:t>
      </w:r>
    </w:p>
    <w:p>
      <w:pPr>
        <w:pStyle w:val="BodyText"/>
      </w:pPr>
      <w:r>
        <w:t xml:space="preserve">This study employed a convergent parallel mixed-methods design, combining quantitative surveys and qualitative interviews to capture the holistic experience of Secondary Teachers in Sudan Khartoum.</w:t>
      </w:r>
    </w:p>
    <w:bookmarkStart w:id="23" w:name="sample-population"/>
    <w:p>
      <w:pPr>
        <w:pStyle w:val="Heading3"/>
      </w:pPr>
      <w:r>
        <w:t xml:space="preserve">Sample Population</w:t>
      </w:r>
    </w:p>
    <w:p>
      <w:pPr>
        <w:numPr>
          <w:ilvl w:val="0"/>
          <w:numId w:val="1002"/>
        </w:numPr>
        <w:pStyle w:val="Compact"/>
      </w:pPr>
      <w:r>
        <w:rPr>
          <w:bCs/>
          <w:b/>
        </w:rPr>
        <w:t xml:space="preserve">N=450:</w:t>
      </w:r>
      <w:r>
        <w:t xml:space="preserve"> </w:t>
      </w:r>
      <w:r>
        <w:t xml:space="preserve">Secondary school teachers across 15 districts in Sudan Khartoum (both public and private institutions).</w:t>
      </w:r>
    </w:p>
    <w:p>
      <w:pPr>
        <w:numPr>
          <w:ilvl w:val="0"/>
          <w:numId w:val="1002"/>
        </w:numPr>
        <w:pStyle w:val="Compact"/>
      </w:pPr>
      <w:r>
        <w:rPr>
          <w:bCs/>
          <w:b/>
        </w:rPr>
        <w:t xml:space="preserve">N=1,200:</w:t>
      </w:r>
      <w:r>
        <w:t xml:space="preserve"> </w:t>
      </w:r>
      <w:r>
        <w:t xml:space="preserve">Secondary school students from the same schools.</w:t>
      </w:r>
    </w:p>
    <w:bookmarkEnd w:id="23"/>
    <w:bookmarkStart w:id="24" w:name="data-collection-tools"/>
    <w:p>
      <w:pPr>
        <w:pStyle w:val="Heading3"/>
      </w:pPr>
      <w:r>
        <w:t xml:space="preserve">Data Collection Tools</w:t>
      </w:r>
    </w:p>
    <w:p>
      <w:pPr>
        <w:pStyle w:val="FirstParagraph"/>
      </w:pPr>
      <w:r>
        <w:t xml:space="preserve">Data was collected via structured questionnaires measuring teacher self-efficacy and student satisfaction, supplemented by focus group discussions (FGDs) with school principals. The geographical scope covered both the urban core of Khartoum and its peri-urban expansions.</w:t>
      </w:r>
    </w:p>
    <w:bookmarkEnd w:id="24"/>
    <w:bookmarkStart w:id="25" w:name="key-findings"/>
    <w:p>
      <w:pPr>
        <w:pStyle w:val="Heading3"/>
      </w:pPr>
      <w:r>
        <w:t xml:space="preserve">Key Findings</w:t>
      </w:r>
    </w:p>
    <w:p>
      <w:pPr>
        <w:pStyle w:val="FirstParagraph"/>
      </w:pPr>
      <w:r>
        <w:rPr>
          <w:bCs/>
          <w:b/>
        </w:rPr>
        <w:t xml:space="preserve">42%</w:t>
      </w:r>
      <w:r>
        <w:br/>
      </w:r>
      <w:r>
        <w:t xml:space="preserve">of teachers reported lack of updated teaching materials.</w:t>
      </w:r>
      <w:r>
        <w:br/>
      </w:r>
      <w:r>
        <w:rPr>
          <w:iCs/>
          <w:i/>
        </w:rPr>
        <w:t xml:space="preserve">(Impact on Curriculum Delivery)</w:t>
      </w:r>
    </w:p>
    <w:p>
      <w:pPr>
        <w:pStyle w:val="BodyText"/>
      </w:pPr>
      <w:r>
        <w:rPr>
          <w:bCs/>
          <w:b/>
        </w:rPr>
        <w:t xml:space="preserve">+65%</w:t>
      </w:r>
      <w:r>
        <w:br/>
      </w:r>
      <w:r>
        <w:t xml:space="preserve">Increase in student engagement when interactive methods were used.</w:t>
      </w:r>
      <w:r>
        <w:br/>
      </w:r>
      <w:r>
        <w:rPr>
          <w:iCs/>
          <w:i/>
        </w:rPr>
        <w:t xml:space="preserve">(Pedagogical Shift)</w:t>
      </w:r>
    </w:p>
    <w:p>
      <w:pPr>
        <w:pStyle w:val="BodyText"/>
      </w:pPr>
      <w:r>
        <w:rPr>
          <w:bCs/>
          <w:b/>
        </w:rPr>
        <w:t xml:space="preserve">The "Resilient Teacher" Model:</w:t>
      </w:r>
    </w:p>
    <w:p>
      <w:pPr>
        <w:pStyle w:val="BodyText"/>
      </w:pPr>
      <w:r>
        <w:t xml:space="preserve">Data indicates that Secondary Teachers who adopted adaptive teaching strategies—such as peer-to-peer learning and community-based projects—showed significantly higher retention rates among students. In Sudan Khartoum, where external disruptions are common, these flexible pedagogies serve as a buffer against educational interruption.</w:t>
      </w:r>
    </w:p>
    <w:bookmarkEnd w:id="25"/>
    <w:bookmarkStart w:id="26" w:name="statistical-significance"/>
    <w:p>
      <w:pPr>
        <w:pStyle w:val="Heading3"/>
      </w:pPr>
      <w:r>
        <w:t xml:space="preserve">Statistical Significance</w:t>
      </w:r>
    </w:p>
    <w:p>
      <w:pPr>
        <w:pStyle w:val="FirstParagraph"/>
      </w:pPr>
      <w:r>
        <w:t xml:space="preserve">Pearson correlation analysis revealed a strong positive relationship (r = 0.78) between teacher professional development participation and student academic outcomes in mathematics and science disciplines within Khartoum schools.</w:t>
      </w:r>
    </w:p>
    <w:bookmarkEnd w:id="26"/>
    <w:bookmarkEnd w:id="27"/>
    <w:bookmarkStart w:id="31" w:name="discussion-recommendations"/>
    <w:p>
      <w:pPr>
        <w:pStyle w:val="Heading2"/>
      </w:pPr>
      <w:r>
        <w:t xml:space="preserve">Discussion &amp; Recommendations</w:t>
      </w:r>
    </w:p>
    <w:p>
      <w:pPr>
        <w:pStyle w:val="FirstParagraph"/>
      </w:pPr>
      <w:r>
        <w:rPr>
          <w:bCs/>
          <w:b/>
        </w:rPr>
        <w:t xml:space="preserve">Implications for Policy:</w:t>
      </w:r>
    </w:p>
    <w:p>
      <w:pPr>
        <w:pStyle w:val="BodyText"/>
      </w:pPr>
      <w:r>
        <w:t xml:space="preserve">The findings suggest that the Ministry of Education in Sudan Khartoum must prioritize continuous professional development (CPD) not just as a formality, but as a critical support mechanism. The Secondary Teacher requires specialized training in crisis management and digital literacy.</w:t>
      </w:r>
    </w:p>
    <w:bookmarkStart w:id="28" w:name="recommendations"/>
    <w:p>
      <w:pPr>
        <w:pStyle w:val="Heading3"/>
      </w:pPr>
      <w:r>
        <w:t xml:space="preserve">Recommendations</w:t>
      </w:r>
    </w:p>
    <w:p>
      <w:pPr>
        <w:numPr>
          <w:ilvl w:val="0"/>
          <w:numId w:val="1003"/>
        </w:numPr>
        <w:pStyle w:val="Compact"/>
      </w:pPr>
      <w:r>
        <w:rPr>
          <w:bCs/>
          <w:b/>
        </w:rPr>
        <w:t xml:space="preserve">Digital Integration:</w:t>
      </w:r>
    </w:p>
    <w:p>
      <w:pPr>
        <w:numPr>
          <w:ilvl w:val="0"/>
          <w:numId w:val="1003"/>
        </w:numPr>
        <w:pStyle w:val="Compact"/>
      </w:pPr>
      <w:r>
        <w:rPr>
          <w:bCs/>
          <w:b/>
        </w:rPr>
        <w:t xml:space="preserve">Pedagogical Shift:</w:t>
      </w:r>
    </w:p>
    <w:p>
      <w:pPr>
        <w:numPr>
          <w:ilvl w:val="0"/>
          <w:numId w:val="1003"/>
        </w:numPr>
        <w:pStyle w:val="Compact"/>
      </w:pPr>
      <w:r>
        <w:rPr>
          <w:bCs/>
          <w:b/>
        </w:rPr>
        <w:t xml:space="preserve">Social-Emotional Learning (SEL):</w:t>
      </w:r>
    </w:p>
    <w:bookmarkEnd w:id="28"/>
    <w:bookmarkStart w:id="29" w:name="conclusion"/>
    <w:p>
      <w:pPr>
        <w:pStyle w:val="Heading3"/>
      </w:pPr>
      <w:r>
        <w:t xml:space="preserve">Conclusion</w:t>
      </w:r>
    </w:p>
    <w:p>
      <w:pPr>
        <w:pStyle w:val="FirstParagraph"/>
      </w:pPr>
      <w:r>
        <w:t xml:space="preserve">The Secondary Teacher in Sudan Khartoum is a pivotal agent of change. By equipping these educators with modern pedagogical tools, psychological support frameworks, and technological resources, we can ensure educational continuity and quality. The resilience demonstrated by teachers in Khartoum provides a model for other regions facing similar challenges.</w:t>
      </w:r>
    </w:p>
    <w:p>
      <w:pPr>
        <w:pStyle w:val="BodyText"/>
      </w:pPr>
      <w:r>
        <w:rPr>
          <w:bCs/>
          <w:b/>
        </w:rPr>
        <w:t xml:space="preserve">Final Thought:</w:t>
      </w:r>
      <w:r>
        <w:br/>
      </w:r>
      <w:r>
        <w:t xml:space="preserve">"Education is the passport to the future, for tomorrow belongs to those who prepare for it today." – Malcolm X. In Sudan Khartoum, our teachers hold this passport. It is time we ensure they have the tools to open every door.</w:t>
      </w:r>
    </w:p>
    <w:bookmarkEnd w:id="29"/>
    <w:bookmarkStart w:id="30" w:name="references"/>
    <w:p>
      <w:pPr>
        <w:pStyle w:val="Heading3"/>
      </w:pPr>
      <w:r>
        <w:t xml:space="preserve">References</w:t>
      </w:r>
    </w:p>
    <w:p>
      <w:pPr>
        <w:numPr>
          <w:ilvl w:val="0"/>
          <w:numId w:val="1004"/>
        </w:numPr>
        <w:pStyle w:val="Compact"/>
      </w:pPr>
      <w:r>
        <w:t xml:space="preserve">Ministry of Education Sudan Khartoum (2021). National Curriculum Framework.</w:t>
      </w:r>
    </w:p>
    <w:p>
      <w:pPr>
        <w:numPr>
          <w:ilvl w:val="0"/>
          <w:numId w:val="1004"/>
        </w:numPr>
        <w:pStyle w:val="Compact"/>
      </w:pPr>
      <w:r>
        <w:t xml:space="preserve">Ahmed, M. &amp; El-Sayed, H. (2022). Urban Education Challenges in North Africa. Journal of African Studies.</w:t>
      </w:r>
    </w:p>
    <w:p>
      <w:pPr>
        <w:numPr>
          <w:ilvl w:val="0"/>
          <w:numId w:val="1004"/>
        </w:numPr>
        <w:pStyle w:val="Compact"/>
      </w:pPr>
      <w:r>
        <w:t xml:space="preserve">UNICEF Sudan Khartoum Office Reports on School Infrastructure (2023).</w:t>
      </w:r>
    </w:p>
    <w:bookmarkEnd w:id="30"/>
    <w:bookmarkEnd w:id="31"/>
    <w:p>
      <w:pPr>
        <w:pStyle w:val="FirstParagraph"/>
      </w:pPr>
      <w:r>
        <w:t xml:space="preserve">© 2023 Academic Poster Presentation on Secondary Teacher Development. All rights reserved.</w:t>
      </w:r>
    </w:p>
    <w:p>
      <w:pPr>
        <w:pStyle w:val="BodyText"/>
      </w:pPr>
      <w:r>
        <w:t xml:space="preserve">Designed for dissemination in Sudan Khartoum Educational Conferences.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Development in Sudan Khartoum</dc:title>
  <dc:creator/>
  <dc:language>en</dc:language>
  <cp:keywords/>
  <dcterms:created xsi:type="dcterms:W3CDTF">2026-07-30T02:22:15Z</dcterms:created>
  <dcterms:modified xsi:type="dcterms:W3CDTF">2026-07-30T02:22:15Z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