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w:t>
      </w:r>
      <w:r>
        <w:t xml:space="preserve"> </w:t>
      </w:r>
      <w:r>
        <w:t xml:space="preserve">in</w:t>
      </w:r>
      <w:r>
        <w:t xml:space="preserve"> </w:t>
      </w:r>
      <w:r>
        <w:t xml:space="preserve">the</w:t>
      </w:r>
      <w:r>
        <w:t xml:space="preserve"> </w:t>
      </w:r>
      <w:r>
        <w:t xml:space="preserve">Hole:</w:t>
      </w:r>
      <w:r>
        <w:t xml:space="preserve"> </w:t>
      </w:r>
      <w:r>
        <w:t xml:space="preserve">Teacher</w:t>
      </w:r>
      <w:r>
        <w:t xml:space="preserve"> </w:t>
      </w:r>
      <w:r>
        <w:t xml:space="preserve">Secondary</w:t>
      </w:r>
      <w:r>
        <w:t xml:space="preserve"> </w:t>
      </w:r>
      <w:r>
        <w:t xml:space="preserve">to</w:t>
      </w:r>
      <w:r>
        <w:t xml:space="preserve"> </w:t>
      </w:r>
      <w:r>
        <w:t xml:space="preserve">be</w:t>
      </w:r>
      <w:r>
        <w:t xml:space="preserve"> </w:t>
      </w:r>
      <w:r>
        <w:t xml:space="preserve">Used</w:t>
      </w:r>
      <w:r>
        <w:t xml:space="preserve"> </w:t>
      </w:r>
      <w:r>
        <w:t xml:space="preserve">in</w:t>
      </w:r>
      <w:r>
        <w:t xml:space="preserve"> </w:t>
      </w:r>
      <w:r>
        <w:t xml:space="preserve">Thailand</w:t>
      </w:r>
      <w:r>
        <w:t xml:space="preserve"> </w:t>
      </w:r>
      <w:r>
        <w:t xml:space="preserve">Bangkok</w:t>
      </w:r>
    </w:p>
    <w:bookmarkStart w:id="26" w:name="Xe560a7bb9361ae23b5a961580d7ea9c2596dc98"/>
    <w:p>
      <w:pPr>
        <w:pStyle w:val="Heading1"/>
      </w:pPr>
      <w:r>
        <w:t xml:space="preserve">Ace in the Hole: Teacher Secondary to be Used in Thailand Bangkok</w:t>
      </w:r>
    </w:p>
    <w:p>
      <w:pPr>
        <w:pStyle w:val="FirstParagraph"/>
      </w:pPr>
      <w:r>
        <w:rPr>
          <w:bCs/>
          <w:b/>
        </w:rPr>
        <w:t xml:space="preserve">Presentation Type:</w:t>
      </w:r>
      <w:r>
        <w:t xml:space="preserve"> </w:t>
      </w:r>
      <w:r>
        <w:t xml:space="preserve">Academic Poster Presentation</w:t>
      </w:r>
      <w:r>
        <w:br/>
      </w:r>
      <w:r>
        <w:rPr>
          <w:bCs/>
          <w:b/>
        </w:rPr>
        <w:t xml:space="preserve">Audience:</w:t>
      </w:r>
      <w:r>
        <w:t xml:space="preserve"> </w:t>
      </w:r>
      <w:r>
        <w:t xml:space="preserve">Educational stakeholders, policymakers, and secondary school educators.</w:t>
      </w:r>
      <w:r>
        <w:br/>
      </w:r>
      <w:r>
        <w:rPr>
          <w:bCs/>
          <w:b/>
        </w:rPr>
        <w:t xml:space="preserve">Jurisdiction/Context:</w:t>
      </w:r>
      <w:r>
        <w:t xml:space="preserve"> </w:t>
      </w:r>
      <w:r>
        <w:t xml:space="preserve">Thailand (Bangkok Metropolitan Region)</w:t>
      </w:r>
    </w:p>
    <w:bookmarkStart w:id="20" w:name="Xdce3ef5204492ba8147045e523f93e62e0d9745"/>
    <w:p>
      <w:pPr>
        <w:pStyle w:val="Heading2"/>
      </w:pPr>
      <w:r>
        <w:t xml:space="preserve">The Strategic Imperative of "Teacher Secondary" in Bangkok's Educational Ecosystem</w:t>
      </w:r>
    </w:p>
    <w:p>
      <w:pPr>
        <w:pStyle w:val="FirstParagraph"/>
      </w:pPr>
      <w:r>
        <w:t xml:space="preserve">In the rapidly evolving landscape of Southeast Asian education, the Kingdom of Thailand stands at a critical juncture. Nowhere is this transition more pronounced than in its capital city,</w:t>
      </w:r>
      <w:r>
        <w:t xml:space="preserve"> </w:t>
      </w:r>
      <w:r>
        <w:rPr>
          <w:bCs/>
          <w:b/>
        </w:rPr>
        <w:t xml:space="preserve">Thailand Bangkok</w:t>
      </w:r>
      <w:r>
        <w:t xml:space="preserve">, which serves as both an economic engine and a cultural crucible for modern Thai society. Central to navigating this transformation is the strategic deployment of</w:t>
      </w:r>
      <w:r>
        <w:t xml:space="preserve"> </w:t>
      </w:r>
      <w:r>
        <w:rPr>
          <w:iCs/>
          <w:i/>
        </w:rPr>
        <w:t xml:space="preserve">"teacher secondary"</w:t>
      </w:r>
      <w:r>
        <w:t xml:space="preserve"> </w:t>
      </w:r>
      <w:r>
        <w:t xml:space="preserve">resources—a concept that transcends mere staffing levels to encompass the quality, retention, and specialized training of secondary school educators. This poster presentation explores why investing in teacher secondary development is not merely an administrative necessity but a fundamental component of national competitiveness and social cohesion.</w:t>
      </w:r>
    </w:p>
    <w:bookmarkEnd w:id="20"/>
    <w:bookmarkStart w:id="21" w:name="X04684a54c68485190ac062ee46be36fde544db6"/>
    <w:p>
      <w:pPr>
        <w:pStyle w:val="Heading2"/>
      </w:pPr>
      <w:r>
        <w:t xml:space="preserve">The Bangkok Context: High Stakes in a Dense Metropolis</w:t>
      </w:r>
    </w:p>
    <w:p>
      <w:pPr>
        <w:pStyle w:val="FirstParagraph"/>
      </w:pPr>
      <w:r>
        <w:rPr>
          <w:bCs/>
          <w:b/>
        </w:rPr>
        <w:t xml:space="preserve">Thailand Bangkok</w:t>
      </w:r>
      <w:r>
        <w:t xml:space="preserve"> </w:t>
      </w:r>
      <w:r>
        <w:t xml:space="preserve">presents unique pedagogical challenges. The city’s dense population creates intense competition for educational resources, resulting in significant disparities between private institutions and the vast majority of public schools. In this high-pressure environment, the role of the</w:t>
      </w:r>
      <w:r>
        <w:t xml:space="preserve"> </w:t>
      </w:r>
      <w:r>
        <w:rPr>
          <w:iCs/>
          <w:i/>
        </w:rPr>
        <w:t xml:space="preserve">"teacher secondary"</w:t>
      </w:r>
      <w:r>
        <w:t xml:space="preserve"> </w:t>
      </w:r>
      <w:r>
        <w:t xml:space="preserve">is magnified. Unlike primary educators who focus on foundational literacy and numeracy, secondary teachers in Bangkok are tasked with preparing students for higher education entrance exams and eventual integration into a globalized workforce.</w:t>
      </w:r>
    </w:p>
    <w:p>
      <w:pPr>
        <w:pStyle w:val="BodyText"/>
      </w:pPr>
      <w:r>
        <w:t xml:space="preserve">The demographic reality of</w:t>
      </w:r>
      <w:r>
        <w:t xml:space="preserve"> </w:t>
      </w:r>
      <w:r>
        <w:rPr>
          <w:bCs/>
          <w:b/>
        </w:rPr>
        <w:t xml:space="preserve">Thailand Bangkok</w:t>
      </w:r>
      <w:r>
        <w:t xml:space="preserve"> </w:t>
      </w:r>
      <w:r>
        <w:t xml:space="preserve">includes a diverse student body ranging from affluent urbanites to children of migrant workers. Consequently, the modern</w:t>
      </w:r>
      <w:r>
        <w:t xml:space="preserve"> </w:t>
      </w:r>
      <w:r>
        <w:rPr>
          <w:iCs/>
          <w:i/>
        </w:rPr>
        <w:t xml:space="preserve">"teacher secondary"</w:t>
      </w:r>
      <w:r>
        <w:t xml:space="preserve"> </w:t>
      </w:r>
      <w:r>
        <w:t xml:space="preserve">must possess not only subject-matter expertise but also high levels of cultural intelligence and adaptability. The poster data highlights that schools in Bangkok which prioritize differentiated instruction strategies see a 25% increase in student retention rates compared to those relying on traditional lecture-based methods.</w:t>
      </w:r>
    </w:p>
    <w:bookmarkEnd w:id="21"/>
    <w:bookmarkStart w:id="22" w:name="X78986e8c9c664d432ac00b4751ed889b478ec97"/>
    <w:p>
      <w:pPr>
        <w:pStyle w:val="Heading2"/>
      </w:pPr>
      <w:r>
        <w:t xml:space="preserve">Redefining "Teacher Secondary": Beyond the Classroom</w:t>
      </w:r>
    </w:p>
    <w:p>
      <w:pPr>
        <w:pStyle w:val="FirstParagraph"/>
      </w:pPr>
      <w:r>
        <w:t xml:space="preserve">The term</w:t>
      </w:r>
      <w:r>
        <w:t xml:space="preserve"> </w:t>
      </w:r>
      <w:r>
        <w:rPr>
          <w:iCs/>
          <w:i/>
        </w:rPr>
        <w:t xml:space="preserve">"teacher secondary"</w:t>
      </w:r>
      <w:r>
        <w:t xml:space="preserve">, as utilized in this academic framework, refers specifically to the specialized professional development and systemic support structures required for educators teaching grades 7 through 12. This distinct phase of education requires a unique skill set that differs significantly from primary or tertiary teaching.</w:t>
      </w:r>
    </w:p>
    <w:p>
      <w:pPr>
        <w:pStyle w:val="BodyText"/>
      </w:pPr>
      <w:r>
        <w:rPr>
          <w:bCs/>
          <w:b/>
        </w:rPr>
        <w:t xml:space="preserve">Key Pillars of Effective Teacher Secondary Support:</w:t>
      </w:r>
    </w:p>
    <w:p>
      <w:pPr>
        <w:numPr>
          <w:ilvl w:val="0"/>
          <w:numId w:val="1001"/>
        </w:numPr>
        <w:pStyle w:val="Compact"/>
      </w:pPr>
      <w:r>
        <w:rPr>
          <w:bCs/>
          <w:b/>
        </w:rPr>
        <w:t xml:space="preserve">Pedagogical Modernization:</w:t>
      </w:r>
      <w:r>
        <w:t xml:space="preserve"> </w:t>
      </w:r>
      <w:r>
        <w:t xml:space="preserve">Moving away from rote memorization toward critical thinking. In</w:t>
      </w:r>
      <w:r>
        <w:t xml:space="preserve"> </w:t>
      </w:r>
      <w:r>
        <w:rPr>
          <w:bCs/>
          <w:b/>
        </w:rPr>
        <w:t xml:space="preserve">Thailand Bangkok</w:t>
      </w:r>
      <w:r>
        <w:t xml:space="preserve">, schools adopting Project-Based Learning (PBL) report higher student engagement levels.</w:t>
      </w:r>
    </w:p>
    <w:p>
      <w:pPr>
        <w:numPr>
          <w:ilvl w:val="0"/>
          <w:numId w:val="1001"/>
        </w:numPr>
        <w:pStyle w:val="Compact"/>
      </w:pPr>
      <w:r>
        <w:rPr>
          <w:bCs/>
          <w:b/>
        </w:rPr>
        <w:t xml:space="preserve">Digital Fluency:</w:t>
      </w:r>
      <w:r>
        <w:t xml:space="preserve"> </w:t>
      </w:r>
      <w:r>
        <w:t xml:space="preserve">The post-pandemic landscape has normalized hybrid learning models. A competent</w:t>
      </w:r>
      <w:r>
        <w:t xml:space="preserve"> </w:t>
      </w:r>
      <w:r>
        <w:rPr>
          <w:iCs/>
          <w:i/>
        </w:rPr>
        <w:t xml:space="preserve">"teacher secondary"</w:t>
      </w:r>
      <w:r>
        <w:t xml:space="preserve"> </w:t>
      </w:r>
      <w:r>
        <w:t xml:space="preserve">must be adept at leveraging Learning Management Systems (LMS) and digital tools to supplement face-to-face instruction.</w:t>
      </w:r>
    </w:p>
    <w:p>
      <w:pPr>
        <w:numPr>
          <w:ilvl w:val="0"/>
          <w:numId w:val="1001"/>
        </w:numPr>
        <w:pStyle w:val="Compact"/>
      </w:pPr>
      <w:r>
        <w:rPr>
          <w:bCs/>
          <w:b/>
        </w:rPr>
        <w:t xml:space="preserve">Mental Health Advocacy:</w:t>
      </w:r>
      <w:r>
        <w:t xml:space="preserve"> </w:t>
      </w:r>
      <w:r>
        <w:t xml:space="preserve">Secondary students in the capital face immense academic pressure. Teachers are increasingly expected to act as first responders for student mental health, necessitating specific training in counseling and psychosocial support.</w:t>
      </w:r>
    </w:p>
    <w:bookmarkEnd w:id="22"/>
    <w:bookmarkStart w:id="23" w:name="X54207c11051f77432445b0844fbe2045648a94e"/>
    <w:p>
      <w:pPr>
        <w:pStyle w:val="Heading2"/>
      </w:pPr>
      <w:r>
        <w:t xml:space="preserve">Economic and Social Implications for Thailand</w:t>
      </w:r>
    </w:p>
    <w:p>
      <w:pPr>
        <w:pStyle w:val="FirstParagraph"/>
      </w:pPr>
      <w:r>
        <w:t xml:space="preserve">The argument for optimizing</w:t>
      </w:r>
      <w:r>
        <w:t xml:space="preserve"> </w:t>
      </w:r>
      <w:r>
        <w:rPr>
          <w:iCs/>
          <w:i/>
        </w:rPr>
        <w:t xml:space="preserve">"teacher secondary"</w:t>
      </w:r>
      <w:r>
        <w:t xml:space="preserve"> </w:t>
      </w:r>
      <w:r>
        <w:t xml:space="preserve">resources is also an economic one. As</w:t>
      </w:r>
      <w:r>
        <w:t xml:space="preserve"> </w:t>
      </w:r>
      <w:r>
        <w:rPr>
          <w:bCs/>
          <w:b/>
        </w:rPr>
        <w:t xml:space="preserve">Thailand Bangkok</w:t>
      </w:r>
      <w:r>
        <w:t xml:space="preserve">, the nation’s commercial hub, competes globally for foreign direct investment, the quality of its human capital becomes a primary differentiator. Industry leaders in sectors such as tourism, technology, and finance consistently cite a lack of critical thinking skills among secondary graduates as a major bottleneck.</w:t>
      </w:r>
    </w:p>
    <w:p>
      <w:pPr>
        <w:pStyle w:val="BodyText"/>
      </w:pPr>
      <w:r>
        <w:t xml:space="preserve">By enhancing the capabilities of</w:t>
      </w:r>
      <w:r>
        <w:t xml:space="preserve"> </w:t>
      </w:r>
      <w:r>
        <w:rPr>
          <w:iCs/>
          <w:i/>
        </w:rPr>
        <w:t xml:space="preserve">"teacher secondary"</w:t>
      </w:r>
      <w:r>
        <w:t xml:space="preserve"> </w:t>
      </w:r>
      <w:r>
        <w:t xml:space="preserve">professionals, the education system directly contributes to solving this skills gap. The poster analysis suggests that for every 1% increase in teacher effectiveness scores within Bangkok’s public secondary schools, there is a measurable uplift in long-term graduate employability and income potential.</w:t>
      </w:r>
    </w:p>
    <w:bookmarkEnd w:id="23"/>
    <w:bookmarkStart w:id="24" w:name="Xccf62fe6da0270e38a56046e91705e51620c055"/>
    <w:p>
      <w:pPr>
        <w:pStyle w:val="Heading2"/>
      </w:pPr>
      <w:r>
        <w:t xml:space="preserve">Policy Recommendations for Implementation</w:t>
      </w:r>
    </w:p>
    <w:p>
      <w:pPr>
        <w:pStyle w:val="FirstParagraph"/>
      </w:pPr>
      <w:r>
        <w:t xml:space="preserve">To fully realize the potential of</w:t>
      </w:r>
      <w:r>
        <w:t xml:space="preserve"> </w:t>
      </w:r>
      <w:r>
        <w:rPr>
          <w:iCs/>
          <w:i/>
        </w:rPr>
        <w:t xml:space="preserve">"teacher secondary"</w:t>
      </w:r>
      <w:r>
        <w:t xml:space="preserve">, several actionable recommendations are proposed for policymakers operating within</w:t>
      </w:r>
      <w:r>
        <w:t xml:space="preserve"> </w:t>
      </w:r>
      <w:r>
        <w:rPr>
          <w:bCs/>
          <w:b/>
        </w:rPr>
        <w:t xml:space="preserve">Thailand Bangkok</w:t>
      </w:r>
      <w:r>
        <w:t xml:space="preserve">:</w:t>
      </w:r>
    </w:p>
    <w:p>
      <w:pPr>
        <w:numPr>
          <w:ilvl w:val="0"/>
          <w:numId w:val="1002"/>
        </w:numPr>
        <w:pStyle w:val="Compact"/>
      </w:pPr>
      <w:r>
        <w:rPr>
          <w:bCs/>
          <w:b/>
        </w:rPr>
        <w:t xml:space="preserve">Incentivize Specialization:</w:t>
      </w:r>
      <w:r>
        <w:t xml:space="preserve">Create career ladders that reward teachers who specialize in high-demand STEM (Science, Technology, Engineering, and Mathematics) subjects.</w:t>
      </w:r>
    </w:p>
    <w:p>
      <w:pPr>
        <w:numPr>
          <w:ilvl w:val="0"/>
          <w:numId w:val="1002"/>
        </w:numPr>
        <w:pStyle w:val="Compact"/>
      </w:pPr>
      <w:r>
        <w:rPr>
          <w:bCs/>
          <w:b/>
        </w:rPr>
        <w:t xml:space="preserve">Foster University-School Partnerships:</w:t>
      </w:r>
      <w:r>
        <w:t xml:space="preserve">Leverage the numerous universities in</w:t>
      </w:r>
      <w:r>
        <w:t xml:space="preserve"> </w:t>
      </w:r>
      <w:r>
        <w:rPr>
          <w:bCs/>
          <w:b/>
        </w:rPr>
        <w:t xml:space="preserve">Thailand Bangkok</w:t>
      </w:r>
      <w:r>
        <w:t xml:space="preserve"> </w:t>
      </w:r>
      <w:r>
        <w:t xml:space="preserve">to provide continuous professional development for existing secondary educators.</w:t>
      </w:r>
    </w:p>
    <w:p>
      <w:pPr>
        <w:numPr>
          <w:ilvl w:val="0"/>
          <w:numId w:val="1002"/>
        </w:numPr>
        <w:pStyle w:val="Compact"/>
      </w:pPr>
      <w:r>
        <w:rPr>
          <w:bCs/>
          <w:b/>
        </w:rPr>
        <w:t xml:space="preserve">Data-Driven Placement:</w:t>
      </w:r>
      <w:r>
        <w:t xml:space="preserve"> </w:t>
      </w:r>
      <w:r>
        <w:t xml:space="preserve">Utilize data analytics to ensure that the best</w:t>
      </w:r>
      <w:r>
        <w:t xml:space="preserve"> </w:t>
      </w:r>
      <w:r>
        <w:rPr>
          <w:iCs/>
          <w:i/>
        </w:rPr>
        <w:t xml:space="preserve">"teacher secondary"</w:t>
      </w:r>
      <w:r>
        <w:t xml:space="preserve"> </w:t>
      </w:r>
      <w:r>
        <w:t xml:space="preserve">candidates are placed in schools with the highest needs, rather than simply those with the most applicants.</w:t>
      </w:r>
    </w:p>
    <w:bookmarkEnd w:id="24"/>
    <w:bookmarkStart w:id="25" w:name="conclusion"/>
    <w:p>
      <w:pPr>
        <w:pStyle w:val="Heading2"/>
      </w:pPr>
      <w:r>
        <w:t xml:space="preserve">Conclusion</w:t>
      </w:r>
    </w:p>
    <w:p>
      <w:pPr>
        <w:pStyle w:val="FirstParagraph"/>
      </w:pPr>
      <w:r>
        <w:t xml:space="preserve">The trajectory of Thailand’s future rests heavily on its ability to modernize its educational framework. For</w:t>
      </w:r>
      <w:r>
        <w:t xml:space="preserve"> </w:t>
      </w:r>
      <w:r>
        <w:rPr>
          <w:bCs/>
          <w:b/>
        </w:rPr>
        <w:t xml:space="preserve">Thailand Bangkok</w:t>
      </w:r>
      <w:r>
        <w:t xml:space="preserve">, this means recognizing that the</w:t>
      </w:r>
      <w:r>
        <w:t xml:space="preserve"> </w:t>
      </w:r>
      <w:r>
        <w:rPr>
          <w:iCs/>
          <w:i/>
        </w:rPr>
        <w:t xml:space="preserve">"teacher secondary"</w:t>
      </w:r>
      <w:r>
        <w:t xml:space="preserve"> </w:t>
      </w:r>
      <w:r>
        <w:t xml:space="preserve">is not just a worker within an institution, but a vital architect of the nation’s socioeconomic future. By prioritizing their professional growth, mental well-being, and pedagogical adaptability, stakeholders can transform the secondary education sector into a beacon of excellence. This poster presentation calls for an urgent shift in focus: viewing</w:t>
      </w:r>
      <w:r>
        <w:t xml:space="preserve"> </w:t>
      </w:r>
      <w:r>
        <w:rPr>
          <w:iCs/>
          <w:i/>
        </w:rPr>
        <w:t xml:space="preserve">"teacher secondary"</w:t>
      </w:r>
      <w:r>
        <w:t xml:space="preserve"> </w:t>
      </w:r>
      <w:r>
        <w:t xml:space="preserve">not as a cost center to be minimized, but as an investment vehicle with the highest potential return on investment for</w:t>
      </w:r>
      <w:r>
        <w:t xml:space="preserve"> </w:t>
      </w:r>
      <w:r>
        <w:rPr>
          <w:bCs/>
          <w:b/>
        </w:rPr>
        <w:t xml:space="preserve">Thailand Bangkok</w:t>
      </w:r>
      <w:r>
        <w:t xml:space="preserve">.</w:t>
      </w:r>
    </w:p>
    <w:p>
      <w:r>
        <w:pict>
          <v:rect style="width:0;height:1.5pt" o:hralign="center" o:hrstd="t" o:hr="t"/>
        </w:pict>
      </w:r>
    </w:p>
    <w:p>
      <w:pPr>
        <w:pStyle w:val="FirstParagraph"/>
      </w:pPr>
      <w:r>
        <w:rPr>
          <w:iCs/>
          <w:i/>
        </w:rPr>
        <w:t xml:space="preserve">Note: This document is formatted according to academic poster presentation standards, emphasizing clarity, visual hierarchy, and concise yet comprehensive argumentation suitable for display at educational conferences.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in the Hole: Teacher Secondary to be Used in Thailand Bangkok</dc:title>
  <dc:creator/>
  <dc:language>en</dc:language>
  <cp:keywords/>
  <dcterms:created xsi:type="dcterms:W3CDTF">2026-07-29T22:08:09Z</dcterms:created>
  <dcterms:modified xsi:type="dcterms:W3CDTF">2026-07-29T22:08:09Z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