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Turkey</w:t>
      </w:r>
    </w:p>
    <w:bookmarkStart w:id="20" w:name="X0a32843ddce460e4b8cb0a7a4b45ee5364d7ec3"/>
    <w:p>
      <w:pPr>
        <w:pStyle w:val="Heading1"/>
      </w:pPr>
      <w:r>
        <w:t xml:space="preserve">Bridging Traditions and Innovation: The Evolving Role of the Secondary Teacher in Turkey Istanbul</w:t>
      </w:r>
    </w:p>
    <w:p>
      <w:pPr>
        <w:pStyle w:val="FirstParagraph"/>
      </w:pPr>
      <w:r>
        <w:rPr>
          <w:bCs/>
          <w:b/>
        </w:rPr>
        <w:t xml:space="preserve">A Strategic Framework for Educational Excellence in a Globalized Metropolis</w:t>
      </w:r>
    </w:p>
    <w:p>
      <w:pPr>
        <w:pStyle w:val="BodyText"/>
      </w:pPr>
      <w:r>
        <w:rPr>
          <w:iCs/>
          <w:i/>
        </w:rPr>
        <w:t xml:space="preserve">Presentation for Academic Review Board | Istanbul, Turkey</w:t>
      </w:r>
    </w:p>
    <w:bookmarkEnd w:id="20"/>
    <w:bookmarkStart w:id="21" w:name="abstract-contextual-background"/>
    <w:p>
      <w:pPr>
        <w:pStyle w:val="Heading3"/>
      </w:pPr>
      <w:r>
        <w:t xml:space="preserve">Abstract &amp; Contextual Background</w:t>
      </w:r>
    </w:p>
    <w:p>
      <w:pPr>
        <w:pStyle w:val="FirstParagraph"/>
      </w:pPr>
      <w:r>
        <w:t xml:space="preserve">The secondary education landscape in Turkey Istanbul is undergoing a profound transformation. As one of the most populous and culturally diverse cities in the world, Istanbul serves as a critical microcosm for understanding the challenges and opportunities facing modern educational systems. This poster presentation outlines the pivotal role of</w:t>
      </w:r>
      <w:r>
        <w:t xml:space="preserve"> </w:t>
      </w:r>
      <w:r>
        <w:rPr>
          <w:bCs/>
          <w:b/>
        </w:rPr>
        <w:t xml:space="preserve">Teacher Secondary</w:t>
      </w:r>
      <w:r>
        <w:t xml:space="preserve"> </w:t>
      </w:r>
      <w:r>
        <w:t xml:space="preserve">educators within this dynamic environment. The objective is to analyze how secondary teachers navigate between traditional pedagogical methods inherited from historical educational structures and the innovative demands of a rapidly digitizing global economy.</w:t>
      </w:r>
    </w:p>
    <w:p>
      <w:pPr>
        <w:pStyle w:val="BodyText"/>
      </w:pPr>
      <w:r>
        <w:t xml:space="preserve">In Turkey Istanbul, schools are not merely academic institutions but community hubs that reflect the socio-political complexities of the nation. Secondary education here is characterized by high stakes, particularly due to university entrance examinations (YKS) which heavily influence student trajectories. This document argues that empowering secondary teachers with modern pedagogical tools and intercultural competence is essential for fostering critical thinking and social cohesion in Turkey Istanbul.</w:t>
      </w:r>
    </w:p>
    <w:bookmarkEnd w:id="21"/>
    <w:bookmarkStart w:id="22" w:name="problem-statement-challenges"/>
    <w:p>
      <w:pPr>
        <w:pStyle w:val="Heading3"/>
      </w:pPr>
      <w:r>
        <w:t xml:space="preserve">Problem Statement &amp; Challenges</w:t>
      </w:r>
    </w:p>
    <w:p>
      <w:pPr>
        <w:pStyle w:val="FirstParagraph"/>
      </w:pPr>
      <w:r>
        <w:t xml:space="preserve">The primary challenge facing the secondary education sector in Turkey Istanbul is the gap between standardized curricula and individualized student needs. Secondary teachers often report high levels of burnout due to large class sizes and administrative burdens. Furthermore, the demographic composition of students in Turkey Istanbul includes significant populations of recent migrants and refugees from various regions, requiring educators to possess specialized skills in inclusive education.</w:t>
      </w:r>
    </w:p>
    <w:p>
      <w:pPr>
        <w:pStyle w:val="BodyText"/>
      </w:pPr>
      <w:r>
        <w:t xml:space="preserve">Additionally, the digital divide remains a persistent issue. While Turkey Istanbul has made strides in infrastructure development, access to high-speed internet and updated educational technology varies significantly between public schools in central districts and those in peripheral areas. Secondary teachers are often tasked with bridging this gap without adequate training or resources, leading to inconsistencies in the quality of education delivered across different neighborhoods.</w:t>
      </w:r>
    </w:p>
    <w:bookmarkEnd w:id="22"/>
    <w:bookmarkStart w:id="23" w:name="X9405685ddff201059315af3db648392a2da9670"/>
    <w:p>
      <w:pPr>
        <w:pStyle w:val="Heading3"/>
      </w:pPr>
      <w:r>
        <w:t xml:space="preserve">Pedagogical Framework &amp; Teacher Empowerment</w:t>
      </w:r>
    </w:p>
    <w:p>
      <w:pPr>
        <w:pStyle w:val="FirstParagraph"/>
      </w:pPr>
      <w:r>
        <w:t xml:space="preserve">To address these challenges, this presentation proposes a multi-dimensional framework for supporting secondary teachers. This framework emphasizes:</w:t>
      </w:r>
    </w:p>
    <w:p>
      <w:pPr>
        <w:numPr>
          <w:ilvl w:val="0"/>
          <w:numId w:val="1001"/>
        </w:numPr>
        <w:pStyle w:val="Compact"/>
      </w:pPr>
      <w:r>
        <w:rPr>
          <w:bCs/>
          <w:b/>
        </w:rPr>
        <w:t xml:space="preserve">Differentiated Instruction:</w:t>
      </w:r>
      <w:r>
        <w:t xml:space="preserve"> </w:t>
      </w:r>
      <w:r>
        <w:t xml:space="preserve">Training secondary teachers to adapt lessons for diverse learning styles and linguistic backgrounds, crucial in the multicultural context of Turkey Istanbul.</w:t>
      </w:r>
    </w:p>
    <w:p>
      <w:pPr>
        <w:numPr>
          <w:ilvl w:val="0"/>
          <w:numId w:val="1001"/>
        </w:numPr>
        <w:pStyle w:val="Compact"/>
      </w:pPr>
      <w:r>
        <w:rPr>
          <w:bCs/>
          <w:b/>
        </w:rPr>
        <w:t xml:space="preserve">Digital Integration:</w:t>
      </w:r>
    </w:p>
    <w:p>
      <w:pPr>
        <w:numPr>
          <w:ilvl w:val="0"/>
          <w:numId w:val="1001"/>
        </w:numPr>
        <w:pStyle w:val="Compact"/>
      </w:pPr>
      <w:r>
        <w:rPr>
          <w:bCs/>
          <w:b/>
        </w:rPr>
        <w:t xml:space="preserve">Socio-Emotional Learning (SEL):</w:t>
      </w:r>
      <w:r>
        <w:t xml:space="preserve"> </w:t>
      </w:r>
      <w:r>
        <w:t xml:space="preserve">Integrating SEL into the secondary curriculum helps teachers address mental health issues among adolescents, a growing concern in high-pressure academic environments in Turkey Istanbul.</w:t>
      </w:r>
    </w:p>
    <w:p>
      <w:pPr>
        <w:pStyle w:val="FirstParagraph"/>
      </w:pPr>
      <w:r>
        <w:t xml:space="preserve">The role of the Teacher Secondary is shifting from "knowledge transmitter" to "learning facilitator." This shift requires continuous professional development that is context-specific to Turkey Istanbul, addressing local societal needs rather than importing generic Western models.</w:t>
      </w:r>
    </w:p>
    <w:bookmarkEnd w:id="23"/>
    <w:bookmarkStart w:id="24" w:name="community-and-stakeholder-collaboration"/>
    <w:p>
      <w:pPr>
        <w:pStyle w:val="Heading3"/>
      </w:pPr>
      <w:r>
        <w:t xml:space="preserve">Community and Stakeholder Collaboration</w:t>
      </w:r>
    </w:p>
    <w:p>
      <w:pPr>
        <w:pStyle w:val="FirstParagraph"/>
      </w:pPr>
      <w:r>
        <w:t xml:space="preserve">In Turkey Istanbul, the success of secondary education is inextricably linked to community engagement. Secondary teachers must act as bridges between schools, families, and local businesses. This section highlights the importance of establishing "Learning Hubs" where secondary teachers collaborate with non-governmental organizations (NGOs) and university partners.</w:t>
      </w:r>
    </w:p>
    <w:p>
      <w:pPr>
        <w:pStyle w:val="BodyText"/>
      </w:pPr>
      <w:r>
        <w:t xml:space="preserve">For instance, partnerships with universities in Turkey Istanbul allow for mentorship programs where experienced educators guide new teachers. Furthermore, involving parents from various cultural backgrounds in school governance ensures that the educational values align with community expectations while maintaining academic rigor. This collaborative approach fosters a sense of ownership and responsibility among all stakeholders, enhancing the overall ecosystem of secondary education.</w:t>
      </w:r>
    </w:p>
    <w:bookmarkEnd w:id="24"/>
    <w:bookmarkStart w:id="25" w:name="expected-outcomes-impact"/>
    <w:p>
      <w:pPr>
        <w:pStyle w:val="Heading3"/>
      </w:pPr>
      <w:r>
        <w:t xml:space="preserve">Expected Outcomes &amp; Impact</w:t>
      </w:r>
    </w:p>
    <w:p>
      <w:pPr>
        <w:pStyle w:val="FirstParagraph"/>
      </w:pPr>
      <w:r>
        <w:t xml:space="preserve">The implementation of the proposed framework is expected to yield several positive outcomes for secondary education in Turkey Istanbul:</w:t>
      </w:r>
    </w:p>
    <w:p>
      <w:pPr>
        <w:numPr>
          <w:ilvl w:val="0"/>
          <w:numId w:val="1002"/>
        </w:numPr>
        <w:pStyle w:val="Compact"/>
      </w:pPr>
      <w:r>
        <w:rPr>
          <w:bCs/>
          <w:b/>
        </w:rPr>
        <w:t xml:space="preserve">Improved Academic Performance:</w:t>
      </w:r>
    </w:p>
    <w:p>
      <w:pPr>
        <w:numPr>
          <w:ilvl w:val="0"/>
          <w:numId w:val="1002"/>
        </w:numPr>
        <w:pStyle w:val="Compact"/>
      </w:pPr>
      <w:r>
        <w:rPr>
          <w:bCs/>
          <w:b/>
        </w:rPr>
        <w:t xml:space="preserve">Increased Teacher Retention:</w:t>
      </w:r>
    </w:p>
    <w:p>
      <w:pPr>
        <w:numPr>
          <w:ilvl w:val="0"/>
          <w:numId w:val="1000"/>
        </w:numPr>
        <w:pStyle w:val="Compact"/>
      </w:pPr>
      <w:r>
        <w:t xml:space="preserve">: By reducing burnout through supportive structures and recognizing the professional agency of secondary teachers, turnover rates in high-needs areas of Turkey Istanbul are expected to decrease.</w:t>
      </w:r>
    </w:p>
    <w:p>
      <w:pPr>
        <w:numPr>
          <w:ilvl w:val="0"/>
          <w:numId w:val="1002"/>
        </w:numPr>
        <w:pStyle w:val="Compact"/>
      </w:pPr>
      <w:r>
        <w:rPr>
          <w:bCs/>
          <w:b/>
        </w:rPr>
        <w:t xml:space="preserve">Social Cohesion:</w:t>
      </w:r>
    </w:p>
    <w:p>
      <w:pPr>
        <w:numPr>
          <w:ilvl w:val="0"/>
          <w:numId w:val="1000"/>
        </w:numPr>
        <w:pStyle w:val="Compact"/>
      </w:pPr>
      <w:r>
        <w:t xml:space="preserve">: Educated youth who feel supported by their teachers are more likely to become engaged citizens. This is particularly vital for Turkey Istanbul's diverse population, where education serves as a primary mechanism for social integration.</w:t>
      </w:r>
    </w:p>
    <w:bookmarkEnd w:id="25"/>
    <w:bookmarkStart w:id="26" w:name="conclusion"/>
    <w:p>
      <w:pPr>
        <w:pStyle w:val="Heading3"/>
      </w:pPr>
      <w:r>
        <w:t xml:space="preserve">Conclusion</w:t>
      </w:r>
    </w:p>
    <w:p>
      <w:pPr>
        <w:pStyle w:val="FirstParagraph"/>
      </w:pPr>
      <w:r>
        <w:t xml:space="preserve">The future of Turkey Istanbul depends on the vitality of its educational institutions. Secondary teachers are at the forefront of this transformation. They are not just instructors but architects of the next generation's civic and professional identity. By addressing the unique challenges faced by educators in Turkey Istanbul and investing in their professional growth, we can create a robust secondary education system that is both globally competitive and locally relevant.</w:t>
      </w:r>
    </w:p>
    <w:p>
      <w:pPr>
        <w:pStyle w:val="BodyText"/>
      </w:pPr>
      <w:r>
        <w:t xml:space="preserve">This poster presentation asserts that a holistic approach—combining pedagogical innovation, technological integration, and community partnership—is essential. The role of the Teacher Secondary must be elevated to reflect its critical importance in shaping the socio-economic landscape of Turkey Istanbul.</w:t>
      </w:r>
    </w:p>
    <w:bookmarkEnd w:id="26"/>
    <w:p>
      <w:pPr>
        <w:pStyle w:val="BodyText"/>
      </w:pPr>
      <w:r>
        <w:t xml:space="preserve">© 2023 Academic Research Group on Secondary Education. All Rights Reserved. | Istanbul, Turkey</w:t>
      </w:r>
    </w:p>
    <w:bookmarkStart w:id="27" w:name="Xffc10abb5f1a98a861c178c9e308ecfe473efbe"/>
    <w:p>
      <w:pPr>
        <w:pStyle w:val="Heading3"/>
      </w:pPr>
      <w:r>
        <w:t xml:space="preserve">Theoretical Underpinnings in the Turkish Context</w:t>
      </w:r>
    </w:p>
    <w:p>
      <w:pPr>
        <w:pStyle w:val="FirstParagraph"/>
      </w:pPr>
      <w:r>
        <w:t xml:space="preserve">To further substantiate the arguments presented, it is essential to delve into the theoretical frameworks that guide educational policy in Turkey. The concept of "Educational Neoliberalism" has significantly influenced secondary education reforms globally, and Turkey Istanbul is no exception. This perspective emphasizes efficiency, accountability, and competition among schools. While these principles aim to improve quality through market mechanisms, they can inadvertently exacerbate inequalities between wealthy districts in Istanbul (such as Beşiktaş or Kadıköy) and less affluent areas.</w:t>
      </w:r>
    </w:p>
    <w:p>
      <w:pPr>
        <w:pStyle w:val="BodyText"/>
      </w:pPr>
      <w:r>
        <w:t xml:space="preserve">Secondary teachers often find themselves caught between the mandate to produce high test scores and the ethical obligation to provide holistic education. This tension is a central theme in contemporary pedagogical research in Turkey. Furthermore, the influence of global educational standards (such as PISA assessments) forces Turkish educators to align local curricula with international benchmarks. However, this alignment must not come at the cost of cultural specificity.</w:t>
      </w:r>
    </w:p>
    <w:p>
      <w:pPr>
        <w:pStyle w:val="BodyText"/>
      </w:pPr>
      <w:r>
        <w:t xml:space="preserve">In Istanbul, a city that straddles Europe and Asia, the secondary teacher plays a unique role in negotiating these dual identities. The curriculum must reflect both national history and global citizenship. Therefore, professional development programs for secondary teachers in Turkey Istanbul should include modules on comparative education and intercultural communication.</w:t>
      </w:r>
    </w:p>
    <w:p>
      <w:pPr>
        <w:pStyle w:val="BodyText"/>
      </w:pPr>
      <w:r>
        <w:t xml:space="preserve">Moreover, the psychological well-being of students has become a critical metric of educational success. In recent years, there has been a growing recognition within the Ministry of National Education (MNE) in Turkey that academic metrics alone do not define student success. Secondary teachers are increasingly expected to serve as counselors and mentors. This dual role requires significant time and emotional labor, which often goes unrecognized in traditional job descriptions.</w:t>
      </w:r>
    </w:p>
    <w:p>
      <w:pPr>
        <w:pStyle w:val="BodyText"/>
      </w:pPr>
      <w:r>
        <w:t xml:space="preserve">To mitigate this, school administrators in Turkey Istanbul must implement supportive structures such as peer-mentoring circles and regular debriefing sessions for teachers dealing with trauma-related issues among students. The integration of psychology services within secondary schools is another vital component of the proposed framework.</w:t>
      </w:r>
    </w:p>
    <w:p>
      <w:pPr>
        <w:pStyle w:val="BodyText"/>
      </w:pPr>
      <w:r>
        <w:t xml:space="preserve">Additionally, the role of technology cannot be overstated. In post-pandemic education models, digital literacy is no longer optional for secondary teachers in Turkey Istanbul. It has become a fundamental competency. Teachers must be proficient in using Learning Management Systems (LMS), creating digital content, and facilitating online collaboration among students.</w:t>
      </w:r>
    </w:p>
    <w:p>
      <w:pPr>
        <w:pStyle w:val="BodyText"/>
      </w:pPr>
      <w:r>
        <w:t xml:space="preserve">The disparity in technological resources remains a challenge. However, mobile technology penetration is high across Turkey Istanbul. Leveraging this by developing mobile-friendly educational apps can help bridge the gap for students who may not have access to desktop computers at home. Secondary teachers can design micro-learning modules that are accessible via smartphones, ensuring continuity of education regardless of socioeconomic status.</w:t>
      </w:r>
    </w:p>
    <w:p>
      <w:pPr>
        <w:pStyle w:val="BodyText"/>
      </w:pPr>
      <w:r>
        <w:t xml:space="preserve">In conclusion, the evolution of secondary education in Turkey Istanbul requires a nuanced understanding of local dynamics coupled with global best practices. The Teacher Secondary is the linchpin in this transformation. By empowering them with the right tools, training, and support systems, we can ensure that Istanbul's youth are well-prepared to meet the challenges of the 21st century.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Turkey</dc:title>
  <dc:creator/>
  <dc:language>en</dc:language>
  <cp:keywords/>
  <dcterms:created xsi:type="dcterms:W3CDTF">2026-07-29T05:54:36Z</dcterms:created>
  <dcterms:modified xsi:type="dcterms:W3CDTF">2026-07-29T05:54:36Z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