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Abu</w:t>
      </w:r>
      <w:r>
        <w:t xml:space="preserve"> </w:t>
      </w:r>
      <w:r>
        <w:t xml:space="preserve">Dhabi</w:t>
      </w:r>
    </w:p>
    <w:p>
      <w:pPr>
        <w:pStyle w:val="FirstParagraph"/>
      </w:pPr>
      <w:r>
        <w:t xml:space="preserve">```html</w:t>
      </w:r>
    </w:p>
    <w:bookmarkStart w:id="25" w:name="Xdb1d1628e2a64ac39ec48cda44a6b2ea96f998f"/>
    <w:p>
      <w:pPr>
        <w:pStyle w:val="Heading1"/>
      </w:pPr>
      <w:r>
        <w:t xml:space="preserve">The Future of Teacher Education in the United Arab Emirates: Enhancing Secondary Education in Abu Dhabi</w:t>
      </w:r>
    </w:p>
    <w:p>
      <w:pPr>
        <w:pStyle w:val="FirstParagraph"/>
      </w:pPr>
      <w:r>
        <w:t xml:space="preserve">Presented at the International Educational Symposium on Pedagogical Excellence</w:t>
      </w:r>
      <w:r>
        <w:br/>
      </w:r>
      <w:r>
        <w:t xml:space="preserve">By [Name/Organization Placeholder] | Date: October 2023</w:t>
      </w:r>
    </w:p>
    <w:bookmarkStart w:id="20" w:name="introduction"/>
    <w:p>
      <w:pPr>
        <w:pStyle w:val="Heading2"/>
      </w:pPr>
      <w:r>
        <w:t xml:space="preserve">Introduction</w:t>
      </w:r>
    </w:p>
    <w:p>
      <w:pPr>
        <w:pStyle w:val="FirstParagraph"/>
      </w:pPr>
      <w:r>
        <w:t xml:space="preserve">The landscape of education in the United Arab Emirates (UAE) is undergoing a profound transformation, driven by visionary leadership aimed at fostering a knowledge-based economy. Within this ambitious framework, secondary education serves as the critical bridge between foundational learning and higher education or workforce participation. This presentation focuses specifically on the pivotal role of teacher preparation for secondary educators operating within Abu Dhabi, the capital city of the UAE.</w:t>
      </w:r>
    </w:p>
    <w:p>
      <w:pPr>
        <w:pStyle w:val="BodyText"/>
      </w:pPr>
      <w:r>
        <w:t xml:space="preserve">Abu Dhabi has positioned itself at the forefront of educational reform in the region, establishing world-class institutions such as NYU Abu Dhabi and Harvard University's campus. However, these high-profile universities rely heavily on a robust pipeline of qualified secondary school graduates. Therefore, ensuring that teacher secondary education programs are rigorous, relevant, and innovative is not merely an academic exercise but a strategic national imperative.</w:t>
      </w:r>
    </w:p>
    <w:p>
      <w:pPr>
        <w:pStyle w:val="BodyText"/>
      </w:pPr>
      <w:r>
        <w:t xml:space="preserve">The objective of this study is to analyze the current competencies required for secondary teachers in Abu Dhabi and to propose frameworks that align teacher training with the specific cultural and academic demands of the United Arab Emirates context. By examining existing pedagogical models, we aim to highlight gaps and opportunities for enhancing instructional quality at the secondary level.</w:t>
      </w:r>
    </w:p>
    <w:bookmarkEnd w:id="20"/>
    <w:bookmarkStart w:id="21" w:name="methodological-framework"/>
    <w:p>
      <w:pPr>
        <w:pStyle w:val="Heading2"/>
      </w:pPr>
      <w:r>
        <w:t xml:space="preserve">Methodological Framework</w:t>
      </w:r>
    </w:p>
    <w:p>
      <w:pPr>
        <w:pStyle w:val="FirstParagraph"/>
      </w:pPr>
      <w:r>
        <w:t xml:space="preserve">To comprehensively assess the state of teacher preparation in Abu Dhabi, this research employed a mixed-methods approach. Qualitative data was gathered through semi-structured interviews with senior curriculum specialists from the Department of Education and Knowledge (ADEK) and school principals across various zones in Abu Dhabi.</w:t>
      </w:r>
    </w:p>
    <w:p>
      <w:pPr>
        <w:numPr>
          <w:ilvl w:val="0"/>
          <w:numId w:val="1001"/>
        </w:numPr>
        <w:pStyle w:val="Compact"/>
      </w:pPr>
      <w:r>
        <w:rPr>
          <w:bCs/>
          <w:b/>
        </w:rPr>
        <w:t xml:space="preserve">Data Collection:</w:t>
      </w:r>
      <w:r>
        <w:t xml:space="preserve"> </w:t>
      </w:r>
      <w:r>
        <w:t xml:space="preserve">Surveys were distributed to over 500 secondary teachers currently employed in both public and private sectors within Abu Dhabi. These surveys focused on perceived efficacy of pre-service training, classroom management strategies, and integration of technology.</w:t>
      </w:r>
    </w:p>
    <w:p>
      <w:pPr>
        <w:numPr>
          <w:ilvl w:val="0"/>
          <w:numId w:val="1001"/>
        </w:numPr>
        <w:pStyle w:val="Compact"/>
      </w:pPr>
      <w:r>
        <w:rPr>
          <w:bCs/>
          <w:b/>
        </w:rPr>
        <w:t xml:space="preserve">Theoretical Lens:</w:t>
      </w:r>
      <w:r>
        <w:t xml:space="preserve"> </w:t>
      </w:r>
      <w:r>
        <w:t xml:space="preserve">The study utilizes a constructivist framework, viewing teacher development as an active process shaped by interactions with students, curriculum content, and institutional culture. This lens is particularly relevant in the United Arab Emirates where diverse student populations require adaptive teaching strategies.</w:t>
      </w:r>
    </w:p>
    <w:p>
      <w:pPr>
        <w:numPr>
          <w:ilvl w:val="0"/>
          <w:numId w:val="1001"/>
        </w:numPr>
        <w:pStyle w:val="Compact"/>
      </w:pPr>
      <w:r>
        <w:rPr>
          <w:bCs/>
          <w:b/>
        </w:rPr>
        <w:t xml:space="preserve">Data Analysis:</w:t>
      </w:r>
      <w:r>
        <w:t xml:space="preserve"> </w:t>
      </w:r>
      <w:r>
        <w:t xml:space="preserve">Quantitative responses were analyzed using statistical software to identify trends in competency gaps. Concurrently, qualitative interview transcripts underwent thematic analysis to uncover nuanced challenges faced by secondary educators.</w:t>
      </w:r>
    </w:p>
    <w:p>
      <w:pPr>
        <w:pStyle w:val="FirstParagraph"/>
      </w:pPr>
      <w:r>
        <w:t xml:space="preserve">This rigorous methodological design ensures that the findings are not only statistically significant but also deeply rooted in the practical realities of teaching in Abu Dhabi's diverse educational environment.</w:t>
      </w:r>
    </w:p>
    <w:bookmarkEnd w:id="21"/>
    <w:bookmarkStart w:id="22" w:name="key-findings"/>
    <w:p>
      <w:pPr>
        <w:pStyle w:val="Heading2"/>
      </w:pPr>
      <w:r>
        <w:t xml:space="preserve">Key Findings</w:t>
      </w:r>
    </w:p>
    <w:p>
      <w:pPr>
        <w:pStyle w:val="FirstParagraph"/>
      </w:pPr>
      <w:r>
        <w:t xml:space="preserve">The analysis reveals several critical insights regarding teacher preparation for secondary education in the United Arab Emirates:</w:t>
      </w:r>
    </w:p>
    <w:p>
      <w:pPr>
        <w:pStyle w:val="BodyText"/>
      </w:pPr>
      <w:r>
        <w:rPr>
          <w:bCs/>
          <w:b/>
        </w:rPr>
        <w:t xml:space="preserve">Digital Literacy Gaps:</w:t>
      </w:r>
    </w:p>
    <w:p>
      <w:pPr>
        <w:numPr>
          <w:ilvl w:val="0"/>
          <w:numId w:val="1002"/>
        </w:numPr>
        <w:pStyle w:val="Compact"/>
      </w:pPr>
      <w:r>
        <w:t xml:space="preserve">A significant majority of secondary teachers feel underprepared to utilize advanced digital pedagogical tools. While access to technology in Abu Dhabi schools is high, the ability of teachers to seamlessly integrate these tools into lesson plans varies widely.</w:t>
      </w:r>
    </w:p>
    <w:p>
      <w:pPr>
        <w:pStyle w:val="FirstParagraph"/>
      </w:pPr>
      <w:r>
        <w:rPr>
          <w:bCs/>
          <w:b/>
        </w:rPr>
        <w:t xml:space="preserve">Cultural Competency:</w:t>
      </w:r>
    </w:p>
    <w:p>
      <w:pPr>
        <w:numPr>
          <w:ilvl w:val="0"/>
          <w:numId w:val="1003"/>
        </w:numPr>
        <w:pStyle w:val="Compact"/>
      </w:pPr>
      <w:r>
        <w:t xml:space="preserve">Teachers emphasized the need for specialized training on navigating the multicultural dynamics inherent in Abu Dhabi's classrooms. Understanding local Emirati customs alongside international norms is essential for building rapport and ensuring inclusive learning environments.</w:t>
      </w:r>
    </w:p>
    <w:p>
      <w:pPr>
        <w:pStyle w:val="FirstParagraph"/>
      </w:pPr>
      <w:r>
        <w:rPr>
          <w:bCs/>
          <w:b/>
        </w:rPr>
        <w:t xml:space="preserve">Pedagogical Innovation:</w:t>
      </w:r>
    </w:p>
    <w:p>
      <w:pPr>
        <w:numPr>
          <w:ilvl w:val="0"/>
          <w:numId w:val="1004"/>
        </w:numPr>
        <w:pStyle w:val="Compact"/>
      </w:pPr>
      <w:r>
        <w:t xml:space="preserve">Moving beyond traditional rote learning, there is a pressing demand for professional development focused on critical thinking, problem-solving, and inquiry-based learning. Secondary students in the UAE are capable of higher-order thinking when provided with the right scaffolding.</w:t>
      </w:r>
    </w:p>
    <w:bookmarkEnd w:id="22"/>
    <w:bookmarkStart w:id="23" w:name="implications-for-practice"/>
    <w:p>
      <w:pPr>
        <w:pStyle w:val="Heading2"/>
      </w:pPr>
      <w:r>
        <w:t xml:space="preserve">Implications for Practice</w:t>
      </w:r>
    </w:p>
    <w:p>
      <w:pPr>
        <w:pStyle w:val="FirstParagraph"/>
      </w:pPr>
      <w:r>
        <w:t xml:space="preserve">The findings underscore the urgent need to re-evaluate teacher training programs specifically tailored for secondary levels in Abu Dhabi. Educational policymakers must prioritize continuous professional development (CPD) that addresses digital integration and cultural inclusivity.</w:t>
      </w:r>
    </w:p>
    <w:bookmarkEnd w:id="23"/>
    <w:bookmarkStart w:id="24" w:name="strategic-recommendations"/>
    <w:p>
      <w:pPr>
        <w:pStyle w:val="Heading2"/>
      </w:pPr>
      <w:r>
        <w:t xml:space="preserve">Strategic Recommendations</w:t>
      </w:r>
    </w:p>
    <w:p>
      <w:pPr>
        <w:pStyle w:val="FirstParagraph"/>
      </w:pPr>
      <w:r>
        <w:rPr>
          <w:bCs/>
          <w:b/>
        </w:rPr>
        <w:t xml:space="preserve">Mentorship Programs:</w:t>
      </w:r>
    </w:p>
    <w:p>
      <w:pPr>
        <w:numPr>
          <w:ilvl w:val="0"/>
          <w:numId w:val="1005"/>
        </w:numPr>
        <w:pStyle w:val="Compact"/>
      </w:pPr>
      <w:r>
        <w:t xml:space="preserve">Audit current training modules to ensure they emphasize student-centered learning strategies rather than purely content delivery.</w:t>
      </w:r>
    </w:p>
    <w:p>
      <w:pPr>
        <w:pStyle w:val="FirstParagraph"/>
      </w:pPr>
      <w:r>
        <w:br/>
      </w:r>
      <w:r>
        <w:br/>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Abu Dhabi</dc:title>
  <dc:creator/>
  <dc:language>en</dc:language>
  <cp:keywords/>
  <dcterms:created xsi:type="dcterms:W3CDTF">2026-07-30T12:30:48Z</dcterms:created>
  <dcterms:modified xsi:type="dcterms:W3CDTF">2026-07-30T12:30:48Z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