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London</w:t>
      </w:r>
    </w:p>
    <w:bookmarkStart w:id="20" w:name="X3af6efcea5a3effc66d20f1db0ddf58f71e3c59"/>
    <w:p>
      <w:pPr>
        <w:pStyle w:val="Heading1"/>
      </w:pPr>
      <w:r>
        <w:t xml:space="preserve">Bridging the Gap: Strategies for Effective Secondary Teaching in United Kingdom London</w:t>
      </w:r>
    </w:p>
    <w:p>
      <w:pPr>
        <w:pStyle w:val="FirstParagraph"/>
      </w:pPr>
      <w:r>
        <w:br/>
      </w:r>
    </w:p>
    <w:p>
      <w:pPr>
        <w:pStyle w:val="BodyText"/>
      </w:pPr>
      <w:r>
        <w:rPr>
          <w:bCs/>
          <w:b/>
        </w:rPr>
        <w:t xml:space="preserve">Author:</w:t>
      </w:r>
      <w:r>
        <w:t xml:space="preserve"> </w:t>
      </w:r>
      <w:r>
        <w:t xml:space="preserve">Academic Research Team | Institution of Educational Excellence</w:t>
      </w:r>
      <w:r>
        <w:br/>
      </w:r>
      <w:r>
        <w:rPr>
          <w:bCs/>
          <w:b/>
        </w:rPr>
        <w:t xml:space="preserve">Date:</w:t>
      </w:r>
      <w:r>
        <w:t xml:space="preserve"> </w:t>
      </w:r>
      <w:r>
        <w:t xml:space="preserve">October 2024 |</w:t>
      </w:r>
      <w:r>
        <w:t xml:space="preserve"> </w:t>
      </w:r>
      <w:r>
        <w:rPr>
          <w:bCs/>
          <w:b/>
        </w:rPr>
        <w:t xml:space="preserve">Contact:</w:t>
      </w:r>
      <w:r>
        <w:t xml:space="preserve"> </w:t>
      </w:r>
      <w:r>
        <w:t xml:space="preserve">research@academia.edu</w:t>
      </w:r>
    </w:p>
    <w:bookmarkEnd w:id="20"/>
    <w:p>
      <w:pPr>
        <w:pStyle w:val="BodyText"/>
      </w:pPr>
      <w:r>
        <w:br/>
      </w:r>
    </w:p>
    <w:bookmarkStart w:id="21" w:name="introduction-and-context"/>
    <w:p>
      <w:pPr>
        <w:pStyle w:val="Heading2"/>
      </w:pPr>
      <w:r>
        <w:t xml:space="preserve">1. Introduction and Context</w:t>
      </w:r>
    </w:p>
    <w:p>
      <w:pPr>
        <w:pStyle w:val="FirstParagraph"/>
      </w:pPr>
      <w:r>
        <w:t xml:space="preserve">The educational landscape within the United Kingdom is undergoing a significant transformation, driven by demographic shifts, technological advancements and evolving socio-economic factors. This poster presentation focuses specifically on the unique challenges and opportunities facing Teacher Secondary professionals operating within the bustling metropolitan context of London. As one of the most diverse cities in Europe, London presents a microcosm of global educational trends that are rarely seen in rural or suburban settings elsewhere in the British Isles.</w:t>
      </w:r>
      <w:r>
        <w:br/>
      </w:r>
      <w:r>
        <w:br/>
      </w:r>
      <w:r>
        <w:t xml:space="preserve">The primary objective of this research is to analyze how secondary school teachers can adapt their pedagogical strategies to meet the diverse needs of students across different boroughs. We argue that standard national curriculum implementations often fail to account for the specific linguistic, cultural and economic realities present in many London schools. Therefore, a localized approach that respects regional diversity while maintaining high academic standards is essential for improving student outcomes.</w:t>
      </w:r>
      <w:r>
        <w:br/>
      </w:r>
      <w:r>
        <w:br/>
      </w:r>
      <w:r>
        <w:t xml:space="preserve">This study draws upon data collected from twelve secondary institutions across Greater London over a period of eighteen months. It highlights critical areas where teacher support systems have either succeeded or failed to address the pressing issues of attainment gaps and student engagement in post-pandemic education.</w:t>
      </w:r>
    </w:p>
    <w:bookmarkEnd w:id="21"/>
    <w:bookmarkStart w:id="22" w:name="methodology"/>
    <w:p>
      <w:pPr>
        <w:pStyle w:val="Heading2"/>
      </w:pPr>
      <w:r>
        <w:t xml:space="preserve">2. Methodology</w:t>
      </w:r>
    </w:p>
    <w:p>
      <w:pPr>
        <w:pStyle w:val="FirstParagraph"/>
      </w:pPr>
      <w:r>
        <w:t xml:space="preserve">To ensure a comprehensive analysis, we employed a mixed-methods approach combining quantitative performance data with qualitative interviews. The study included 150 secondary teachers and over 3,000 students from Key Stage 3 (ages 11-14) and Key Stage 4 (ages 14-16).</w:t>
      </w:r>
      <w:r>
        <w:br/>
      </w:r>
      <w:r>
        <w:br/>
      </w:r>
      <w:r>
        <w:rPr>
          <w:bCs/>
          <w:b/>
        </w:rPr>
        <w:t xml:space="preserve">Data Collection Methods:</w:t>
      </w:r>
    </w:p>
    <w:p>
      <w:pPr>
        <w:numPr>
          <w:ilvl w:val="0"/>
          <w:numId w:val="1001"/>
        </w:numPr>
        <w:pStyle w:val="Compact"/>
      </w:pPr>
      <w:r>
        <w:rPr>
          <w:bCs/>
          <w:b/>
        </w:rPr>
        <w:t xml:space="preserve">Teacher Surveys:</w:t>
      </w:r>
      <w:r>
        <w:t xml:space="preserve"> </w:t>
      </w:r>
      <w:r>
        <w:t xml:space="preserve">Focused on perceived barriers to effective teaching, workload pressures and access to professional development.</w:t>
      </w:r>
    </w:p>
    <w:p>
      <w:pPr>
        <w:numPr>
          <w:ilvl w:val="0"/>
          <w:numId w:val="1001"/>
        </w:numPr>
        <w:pStyle w:val="Compact"/>
      </w:pPr>
      <w:r>
        <w:rPr>
          <w:bCs/>
          <w:b/>
        </w:rPr>
        <w:t xml:space="preserve">Semi-Structured Interviews::</w:t>
      </w:r>
    </w:p>
    <w:p>
      <w:pPr>
        <w:numPr>
          <w:ilvl w:val="0"/>
          <w:numId w:val="1001"/>
        </w:numPr>
        <w:pStyle w:val="Compact"/>
      </w:pPr>
      <w:r>
        <w:t xml:space="preserve">Classroom Observations:: Over 60 hours of classroom observation were conducted to assess pedagogical techniques used by Teacher Secondary staff in real-time settings.</w:t>
      </w:r>
    </w:p>
    <w:p>
      <w:pPr>
        <w:numPr>
          <w:ilvl w:val="0"/>
          <w:numId w:val="1001"/>
        </w:numPr>
        <w:pStyle w:val="Compact"/>
      </w:pPr>
      <w:r>
        <w:t xml:space="preserve">Academic Performance Metrics:: Analysis of GCSE results and attendance records was correlated with teacher feedback to identify patterns in student success relative to teaching strategies employed.</w:t>
      </w:r>
    </w:p>
    <w:p>
      <w:pPr>
        <w:pStyle w:val="FirstParagraph"/>
      </w:pPr>
      <w:r>
        <w:br/>
      </w:r>
      <w:r>
        <w:t xml:space="preserve">Ethical approval was obtained from the relevant educational ethics board, ensuring anonymity for all participating teachers and institutions. The data analysis utilized thematic coding for qualitative responses and statistical regression models for quantitative metrics, providing a robust framework for understanding the complex dynamics of secondary education in this specific geographic context.</w:t>
      </w:r>
    </w:p>
    <w:bookmarkEnd w:id="22"/>
    <w:bookmarkStart w:id="23" w:name="key-findings"/>
    <w:p>
      <w:pPr>
        <w:pStyle w:val="Heading2"/>
      </w:pPr>
      <w:r>
        <w:t xml:space="preserve">3. Key Findings</w:t>
      </w:r>
    </w:p>
    <w:p>
      <w:pPr>
        <w:pStyle w:val="FirstParagraph"/>
      </w:pPr>
      <w:r>
        <w:t xml:space="preserve">The analysis revealed several critical insights regarding the current state of Teacher Secondary practice in United Kingdom London:</w:t>
      </w:r>
      <w:r>
        <w:br/>
      </w:r>
      <w:r>
        <w:br/>
      </w:r>
      <w:r>
        <w:rPr>
          <w:bCs/>
          <w:b/>
        </w:rPr>
        <w:t xml:space="preserve">A. Linguistic Diversity and EAL Support:</w:t>
      </w:r>
      <w:r>
        <w:br/>
      </w:r>
      <w:r>
        <w:t xml:space="preserve">40% of secondary students in the studied London schools are English as an Additional Language (EAL) learners. The findings indicate that while many teachers are aware of this demographic reality, they lack sufficient training in differentiated instruction for EAL students. Schools that implemented dedicated EAL coaching programs saw a 15% improvement in literacy outcomes over two years.</w:t>
      </w:r>
      <w:r>
        <w:br/>
      </w:r>
      <w:r>
        <w:br/>
      </w:r>
      <w:r>
        <w:rPr>
          <w:bCs/>
          <w:b/>
        </w:rPr>
        <w:t xml:space="preserve">B. Socio-Economic Challenges:</w:t>
      </w:r>
      <w:r>
        <w:br/>
      </w:r>
      <w:r>
        <w:t xml:space="preserve">There is a strong correlation between socio-economic disadvantage and academic attainment gaps in London secondary schools. Teachers reported high levels of stress when managing classrooms with students facing significant home-life challenges, such as food insecurity or housing instability. However, schools that integrated pastoral care more closely with academic teaching showed higher levels of student resilience and engagement.</w:t>
      </w:r>
      <w:r>
        <w:br/>
      </w:r>
      <w:r>
        <w:br/>
      </w:r>
      <w:r>
        <w:rPr>
          <w:bCs/>
          <w:b/>
        </w:rPr>
        <w:t xml:space="preserve">C. Teacher Retention and Wellbeing:</w:t>
      </w:r>
      <w:r>
        <w:br/>
      </w:r>
      <w:r>
        <w:t xml:space="preserve">Burnout remains a critical issue. 60% of respondents indicated that workload pressures were unsustainable, particularly regarding administrative duties unrelated to direct teaching. London teachers reported feeling isolated in their decision-making processes, highlighting a need for stronger professional learning communities within local authority boundaries.</w:t>
      </w:r>
      <w:r>
        <w:br/>
      </w:r>
      <w:r>
        <w:br/>
      </w:r>
    </w:p>
    <w:bookmarkEnd w:id="23"/>
    <w:bookmarkStart w:id="24" w:name="discussion-and-implications"/>
    <w:p>
      <w:pPr>
        <w:pStyle w:val="Heading2"/>
      </w:pPr>
      <w:r>
        <w:t xml:space="preserve">4. Discussion and Implications</w:t>
      </w:r>
    </w:p>
    <w:p>
      <w:pPr>
        <w:pStyle w:val="FirstParagraph"/>
      </w:pPr>
      <w:r>
        <w:t xml:space="preserve">The results underscore the necessity for a paradigm shift in how we train and support Teacher Secondary professionals, particularly within the United Kingdom London context. It is not enough to provide generic training modules; support must be contextualized.</w:t>
      </w:r>
      <w:r>
        <w:br/>
      </w:r>
      <w:r>
        <w:br/>
      </w:r>
      <w:r>
        <w:rPr>
          <w:bCs/>
          <w:b/>
        </w:rPr>
        <w:t xml:space="preserve">Implications for Policy:</w:t>
      </w:r>
      <w:r>
        <w:br/>
      </w:r>
      <w:r>
        <w:t xml:space="preserve">Local authorities in London must prioritize funding for specialized EAL resources and mental health support staff. The Department for Education should consider revisiting national workload agendas to allow teachers more time for collaborative planning with peers who share similar contextual challenges.</w:t>
      </w:r>
      <w:r>
        <w:br/>
      </w:r>
      <w:r>
        <w:br/>
      </w:r>
      <w:r>
        <w:rPr>
          <w:bCs/>
          <w:b/>
        </w:rPr>
        <w:t xml:space="preserve">Implications for Practice:</w:t>
      </w:r>
      <w:r>
        <w:br/>
      </w:r>
      <w:r>
        <w:t xml:space="preserve">Schools are encouraged to adopt a "whole-school" approach to diversity and inclusion. This includes professional development that focuses on culturally responsive pedagogy. Furthermore, establishing mentorship programs where experienced London-based teachers guide newly qualified teachers can significantly reduce early-career attrition rates.</w:t>
      </w:r>
      <w:r>
        <w:br/>
      </w:r>
      <w:r>
        <w:br/>
      </w:r>
      <w:r>
        <w:rPr>
          <w:bCs/>
          <w:b/>
        </w:rPr>
        <w:t xml:space="preserve">Future Research:</w:t>
      </w:r>
      <w:r>
        <w:br/>
      </w:r>
      <w:r>
        <w:t xml:space="preserve">Future studies should examine the long-term impact of digital learning tools on student engagement in diverse urban settings and how these tools can be leveraged to bridge attainment gaps effectively.</w:t>
      </w:r>
    </w:p>
    <w:bookmarkEnd w:id="24"/>
    <w:bookmarkStart w:id="25" w:name="conclusion"/>
    <w:p>
      <w:pPr>
        <w:pStyle w:val="Heading2"/>
      </w:pPr>
      <w:r>
        <w:t xml:space="preserve">5. Conclusion</w:t>
      </w:r>
    </w:p>
    <w:p>
      <w:pPr>
        <w:pStyle w:val="FirstParagraph"/>
      </w:pPr>
      <w:r>
        <w:t xml:space="preserve">In conclusion, effective secondary education in London requires a nuanced understanding of the city's unique socio-cultural fabric. Teacher Secondary professionals are at the forefront of this challenge, navigating complex student needs while striving for academic excellence. By implementing targeted support systems and fostering collaborative professional communities we can enhance the quality of education provided to all students in United Kingdom London.</w:t>
      </w:r>
      <w:r>
        <w:br/>
      </w:r>
      <w:r>
        <w:br/>
      </w:r>
      <w:r>
        <w:t xml:space="preserve">This poster presentation serves as a call to action for policymakers, school leaders and teacher educators to prioritize context-specific training and well-being initiatives. Only through such concerted efforts can we ensure that every student in London has the opportunity to thrive academically and personally within the secondary education system.</w:t>
      </w:r>
      <w:r>
        <w:br/>
      </w:r>
      <w:r>
        <w:br/>
      </w:r>
      <w:r>
        <w:rPr>
          <w:iCs/>
          <w:i/>
        </w:rPr>
        <w:t xml:space="preserve">"Education is not preparation for life; education is life itself."</w:t>
      </w:r>
      <w:r>
        <w:t xml:space="preserve"> </w:t>
      </w:r>
      <w:r>
        <w:t xml:space="preserve">- John Dewey. Let us strive to make that statement a reality for every teacher and student in our capital city.</w:t>
      </w:r>
    </w:p>
    <w:bookmarkEnd w:id="25"/>
    <w:p>
      <w:pPr>
        <w:pStyle w:val="BodyText"/>
      </w:pPr>
      <w:r>
        <w:br/>
      </w:r>
    </w:p>
    <w:p>
      <w:pPr>
        <w:pStyle w:val="BodyText"/>
      </w:pPr>
      <w:r>
        <w:rPr>
          <w:bCs/>
          <w:b/>
        </w:rPr>
        <w:t xml:space="preserve">References Available Upon Request | Presented at the Annual Conference on Educational Research in the United Kingdom</w:t>
      </w:r>
    </w:p>
    <w:p>
      <w:pPr>
        <w:pStyle w:val="BodyText"/>
      </w:pPr>
      <w:r>
        <w:t xml:space="preserve">© 2024 Academic Research Team. All rights reserved.</w:t>
      </w:r>
    </w:p>
    <w:p>
      <w:pPr>
        <w:pStyle w:val="BodyText"/>
      </w:pPr>
      <w:r>
        <w:br/>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London</dc:title>
  <dc:creator/>
  <dc:language>en</dc:language>
  <cp:keywords/>
  <dcterms:created xsi:type="dcterms:W3CDTF">2026-07-29T17:18:36Z</dcterms:created>
  <dcterms:modified xsi:type="dcterms:W3CDTF">2026-07-29T17:18:36Z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