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Tashkent</w:t>
      </w:r>
    </w:p>
    <w:bookmarkStart w:id="27" w:name="Xa607cdef5d4438215db5b4b0a06e4d9d28098f5"/>
    <w:p>
      <w:pPr>
        <w:pStyle w:val="Heading1"/>
      </w:pPr>
      <w:r>
        <w:t xml:space="preserve">Catalyzing Transformation in the Modern Classroom</w:t>
      </w:r>
    </w:p>
    <w:bookmarkStart w:id="26" w:name="X932fdcbc1c1aa916a4c060260350bb25d0c5538"/>
    <w:p>
      <w:pPr>
        <w:pStyle w:val="Heading2"/>
      </w:pPr>
      <w:r>
        <w:t xml:space="preserve">The Role of the Teacher Secondary as a Strategic Architect for Educational Excellence in Uzbekistan Tashkent</w:t>
      </w:r>
    </w:p>
    <w:p>
      <w:pPr>
        <w:pStyle w:val="FirstParagraph"/>
      </w:pPr>
      <w:r>
        <w:br/>
      </w:r>
      <w:r>
        <w:rPr>
          <w:bCs/>
          <w:b/>
        </w:rPr>
        <w:t xml:space="preserve">A Comparative Analysis: Bridging Global Pedagogical Standards with Local Cultural Contexts</w:t>
      </w:r>
    </w:p>
    <w:p>
      <w:pPr>
        <w:pStyle w:val="BodyText"/>
      </w:pPr>
      <w:r>
        <w:rPr>
          <w:iCs/>
          <w:i/>
        </w:rPr>
        <w:t xml:space="preserve">Presentation Prepared for International Conference on Post-Soviet Educational Reforms</w:t>
      </w:r>
      <w:r>
        <w:t xml:space="preserve"> </w:t>
      </w:r>
      <w:r>
        <w:t xml:space="preserve">  |  </w:t>
      </w:r>
      <w:r>
        <w:t xml:space="preserve"> </w:t>
      </w:r>
      <w:r>
        <w:t xml:space="preserve">Tashkent State University of Law, Uzbekistan Tashkent</w:t>
      </w:r>
    </w:p>
    <w:bookmarkStart w:id="20" w:name="introduction"/>
    <w:p>
      <w:pPr>
        <w:pStyle w:val="Heading3"/>
      </w:pPr>
      <w:r>
        <w:t xml:space="preserve">Introduction and Contextual Background</w:t>
      </w:r>
    </w:p>
    <w:p>
      <w:pPr>
        <w:pStyle w:val="FirstParagraph"/>
      </w:pPr>
      <w:r>
        <w:br/>
      </w:r>
    </w:p>
    <w:p>
      <w:pPr>
        <w:pStyle w:val="BodyText"/>
      </w:pPr>
      <w:r>
        <w:t xml:space="preserve">The educational landscape in</w:t>
      </w:r>
      <w:r>
        <w:t xml:space="preserve"> </w:t>
      </w:r>
      <w:r>
        <w:rPr>
          <w:bCs/>
          <w:b/>
        </w:rPr>
        <w:t xml:space="preserve">Tashkent, Uzbekistan</w:t>
      </w:r>
      <w:r>
        <w:t xml:space="preserve">, is currently undergoing a profound structural metamorphosis. Driven by national policies aimed at modernizing the curriculum and integrating technology into schools, the demand for highly competent educators has reached an unprecedented peak. While physical infrastructure upgrades are visible across</w:t>
      </w:r>
      <w:r>
        <w:t xml:space="preserve"> </w:t>
      </w:r>
      <w:r>
        <w:rPr>
          <w:bCs/>
          <w:b/>
        </w:rPr>
        <w:t xml:space="preserve">Uzbekistan Tashkent</w:t>
      </w:r>
      <w:r>
        <w:t xml:space="preserve">, the human capital—the secondary teacher—remains the pivotal variable in determining educational success.</w:t>
      </w:r>
    </w:p>
    <w:p>
      <w:pPr>
        <w:pStyle w:val="BodyText"/>
      </w:pPr>
      <w:r>
        <w:t xml:space="preserve">This poster presentation explores how a well-trained</w:t>
      </w:r>
      <w:r>
        <w:t xml:space="preserve"> </w:t>
      </w:r>
      <w:r>
        <w:rPr>
          <w:bCs/>
          <w:b/>
        </w:rPr>
        <w:t xml:space="preserve">Teacher Secondary</w:t>
      </w:r>
      <w:r>
        <w:t xml:space="preserve"> </w:t>
      </w:r>
      <w:r>
        <w:t xml:space="preserve">serves as the central pillar for this transformation. We analyze the shifting role of educators in</w:t>
      </w:r>
      <w:r>
        <w:t xml:space="preserve"> </w:t>
      </w:r>
      <w:r>
        <w:rPr>
          <w:bCs/>
          <w:b/>
        </w:rPr>
        <w:t xml:space="preserve">Tashkent, Uzbekistan</w:t>
      </w:r>
      <w:r>
        <w:t xml:space="preserve">, moving from traditional knowledge-transmitters to facilitators of critical thinking and digital literacy. The specific geographic and economic context of</w:t>
      </w:r>
      <w:r>
        <w:t xml:space="preserve"> </w:t>
      </w:r>
      <w:r>
        <w:rPr>
          <w:bCs/>
          <w:b/>
        </w:rPr>
        <w:t xml:space="preserve">Tashkent, Uzbekistan</w:t>
      </w:r>
      <w:r>
        <w:t xml:space="preserve">, provides a unique case study for understanding how localized pedagogical strategies can drive broader national outcomes.</w:t>
      </w:r>
    </w:p>
    <w:bookmarkEnd w:id="20"/>
    <w:bookmarkStart w:id="21" w:name="methodology"/>
    <w:p>
      <w:pPr>
        <w:pStyle w:val="Heading3"/>
      </w:pPr>
      <w:r>
        <w:t xml:space="preserve">Research Methodology</w:t>
      </w:r>
    </w:p>
    <w:p>
      <w:pPr>
        <w:pStyle w:val="FirstParagraph"/>
      </w:pPr>
      <w:r>
        <w:br/>
      </w:r>
    </w:p>
    <w:p>
      <w:pPr>
        <w:pStyle w:val="BodyText"/>
      </w:pPr>
      <w:r>
        <w:t xml:space="preserve">To understand the multifaceted role of the</w:t>
      </w:r>
      <w:r>
        <w:t xml:space="preserve"> </w:t>
      </w:r>
      <w:r>
        <w:rPr>
          <w:bCs/>
          <w:b/>
        </w:rPr>
        <w:t xml:space="preserve">Teacher Secondary</w:t>
      </w:r>
      <w:r>
        <w:t xml:space="preserve">, we employed a mixed-methods approach:</w:t>
      </w:r>
    </w:p>
    <w:p>
      <w:pPr>
        <w:numPr>
          <w:ilvl w:val="0"/>
          <w:numId w:val="1001"/>
        </w:numPr>
        <w:pStyle w:val="Compact"/>
      </w:pPr>
      <w:r>
        <w:rPr>
          <w:bCs/>
          <w:b/>
        </w:rPr>
        <w:t xml:space="preserve">Spatial Analysis:</w:t>
      </w:r>
      <w:r>
        <w:t xml:space="preserve"> </w:t>
      </w:r>
      <w:r>
        <w:t xml:space="preserve">Examining school infrastructure and resource distribution across districts in</w:t>
      </w:r>
      <w:r>
        <w:t xml:space="preserve"> </w:t>
      </w:r>
      <w:r>
        <w:rPr>
          <w:bCs/>
          <w:b/>
        </w:rPr>
        <w:t xml:space="preserve">Tashkent, Uzbekistan</w:t>
      </w:r>
      <w:r>
        <w:t xml:space="preserve">.</w:t>
      </w:r>
    </w:p>
    <w:p>
      <w:pPr>
        <w:numPr>
          <w:ilvl w:val="0"/>
          <w:numId w:val="1001"/>
        </w:numPr>
        <w:pStyle w:val="Compact"/>
      </w:pPr>
      <w:r>
        <w:rPr>
          <w:bCs/>
          <w:b/>
        </w:rPr>
        <w:t xml:space="preserve">Pedagogical Audits:</w:t>
      </w:r>
      <w:r>
        <w:t xml:space="preserve"> </w:t>
      </w:r>
      <w:r>
        <w:t xml:space="preserve">Observing classroom interactions to assess the application of modern teaching methodologies by secondary teachers.</w:t>
      </w:r>
    </w:p>
    <w:p>
      <w:pPr>
        <w:numPr>
          <w:ilvl w:val="0"/>
          <w:numId w:val="1001"/>
        </w:numPr>
        <w:pStyle w:val="Compact"/>
      </w:pPr>
      <w:r>
        <w:t xml:space="preserve">Socio-Economic Surveys: Surveying families in</w:t>
      </w:r>
      <w:r>
        <w:t xml:space="preserve"> </w:t>
      </w:r>
      <w:r>
        <w:rPr>
          <w:bCs/>
          <w:b/>
        </w:rPr>
        <w:t xml:space="preserve">Tashkent, Uzbekistan</w:t>
      </w:r>
      <w:r>
        <w:t xml:space="preserve">, regarding their expectations from the education system and the perceived role of secondary teachers.</w:t>
      </w:r>
    </w:p>
    <w:p>
      <w:pPr>
        <w:numPr>
          <w:ilvl w:val="0"/>
          <w:numId w:val="1001"/>
        </w:numPr>
        <w:pStyle w:val="Compact"/>
      </w:pPr>
      <w:r>
        <w:rPr>
          <w:bCs/>
          <w:b/>
        </w:rPr>
        <w:t xml:space="preserve">Focus Group Discussions:</w:t>
      </w:r>
      <w:r>
        <w:t xml:space="preserve"> </w:t>
      </w:r>
      <w:r>
        <w:t xml:space="preserve">Engaging with educators to identify systemic barriers faced by secondary teachers in urban settings.</w:t>
      </w:r>
    </w:p>
    <w:p>
      <w:pPr>
        <w:pStyle w:val="FirstParagraph"/>
      </w:pPr>
      <w:r>
        <w:t xml:space="preserve">Data was triangulated to ensure that the representation of secondary teacher efficacy in</w:t>
      </w:r>
      <w:r>
        <w:t xml:space="preserve"> </w:t>
      </w:r>
      <w:r>
        <w:rPr>
          <w:bCs/>
          <w:b/>
        </w:rPr>
        <w:t xml:space="preserve">Tashkent, Uzbekistan</w:t>
      </w:r>
      <w:r>
        <w:t xml:space="preserve">, reflects both quantitative metrics and qualitative realities on the ground.</w:t>
      </w:r>
    </w:p>
    <w:bookmarkEnd w:id="21"/>
    <w:bookmarkStart w:id="22" w:name="findings"/>
    <w:p>
      <w:pPr>
        <w:pStyle w:val="Heading3"/>
      </w:pPr>
      <w:r>
        <w:t xml:space="preserve">Key Findings: The Evolving Role of Teacher Secondary</w:t>
      </w:r>
    </w:p>
    <w:p>
      <w:pPr>
        <w:pStyle w:val="FirstParagraph"/>
      </w:pPr>
      <w:r>
        <w:br/>
      </w:r>
    </w:p>
    <w:p>
      <w:pPr>
        <w:pStyle w:val="BodyText"/>
      </w:pPr>
      <w:r>
        <w:t xml:space="preserve">The research indicates a significant paradigm shift required for the modern</w:t>
      </w:r>
      <w:r>
        <w:t xml:space="preserve"> </w:t>
      </w:r>
      <w:r>
        <w:rPr>
          <w:bCs/>
          <w:b/>
        </w:rPr>
        <w:t xml:space="preserve">Teacher Secondary</w:t>
      </w:r>
      <w:r>
        <w:t xml:space="preserve">. In</w:t>
      </w:r>
      <w:r>
        <w:t xml:space="preserve"> </w:t>
      </w:r>
      <w:r>
        <w:rPr>
          <w:bCs/>
          <w:b/>
        </w:rPr>
        <w:t xml:space="preserve">Tashkent, Uzbekistan</w:t>
      </w:r>
      <w:r>
        <w:t xml:space="preserve">, parents and students are increasingly demanding educators who can navigate global digital landscapes while maintaining local cultural integrity.</w:t>
      </w:r>
    </w:p>
    <w:p>
      <w:pPr>
        <w:numPr>
          <w:ilvl w:val="0"/>
          <w:numId w:val="1002"/>
        </w:numPr>
        <w:pStyle w:val="Compact"/>
      </w:pPr>
      <w:r>
        <w:rPr>
          <w:bCs/>
          <w:b/>
        </w:rPr>
        <w:t xml:space="preserve">From Transmitter to Facilitator:</w:t>
      </w:r>
      <w:r>
        <w:t xml:space="preserve"> </w:t>
      </w:r>
      <w:r>
        <w:t xml:space="preserve">The traditional "chalk and talk" model is rapidly diminishing. Secondary teachers in</w:t>
      </w:r>
      <w:r>
        <w:t xml:space="preserve"> </w:t>
      </w:r>
      <w:r>
        <w:rPr>
          <w:bCs/>
          <w:b/>
        </w:rPr>
        <w:t xml:space="preserve">Tashkent, Uzbekistan</w:t>
      </w:r>
      <w:r>
        <w:t xml:space="preserve">, are being trained to facilitate student-led inquiry.</w:t>
      </w:r>
    </w:p>
    <w:p>
      <w:pPr>
        <w:numPr>
          <w:ilvl w:val="0"/>
          <w:numId w:val="1002"/>
        </w:numPr>
        <w:pStyle w:val="Compact"/>
      </w:pPr>
      <w:r>
        <w:t xml:space="preserve">The Digital Divide: There is a noticeable gap between high-tech schools in the city center and peripheral districts. The adaptability of the secondary teacher is crucial in bridging this disparity.</w:t>
      </w:r>
    </w:p>
    <w:p>
      <w:pPr>
        <w:numPr>
          <w:ilvl w:val="0"/>
          <w:numId w:val="1002"/>
        </w:numPr>
        <w:pStyle w:val="Compact"/>
      </w:pPr>
      <w:r>
        <w:rPr>
          <w:bCs/>
          <w:b/>
        </w:rPr>
        <w:t xml:space="preserve">Cultural Mediation:</w:t>
      </w:r>
      <w:r>
        <w:t xml:space="preserve"> </w:t>
      </w:r>
      <w:r>
        <w:t xml:space="preserve">Secondary educators act as vital mediators, integrating modern global competencies with Uzbek cultural values, ensuring that youth remain rooted while becoming globally competitive.</w:t>
      </w:r>
    </w:p>
    <w:bookmarkEnd w:id="22"/>
    <w:bookmarkStart w:id="23" w:name="discussion"/>
    <w:p>
      <w:pPr>
        <w:pStyle w:val="Heading3"/>
      </w:pPr>
      <w:r>
        <w:t xml:space="preserve">Discussion: Navigating Systemic Challenges</w:t>
      </w:r>
    </w:p>
    <w:p>
      <w:pPr>
        <w:pStyle w:val="FirstParagraph"/>
      </w:pPr>
      <w:r>
        <w:br/>
      </w:r>
    </w:p>
    <w:p>
      <w:pPr>
        <w:pStyle w:val="BodyText"/>
      </w:pPr>
      <w:r>
        <w:t xml:space="preserve">The implementation of advanced pedagogical frameworks in</w:t>
      </w:r>
      <w:r>
        <w:t xml:space="preserve"> </w:t>
      </w:r>
      <w:r>
        <w:rPr>
          <w:bCs/>
          <w:b/>
        </w:rPr>
        <w:t xml:space="preserve">Tashkent, Uzbekistan</w:t>
      </w:r>
      <w:r>
        <w:t xml:space="preserve">, faces unique hurdles. While the central government provides a strong directive for modernization, the on-the-ground execution relies entirely on the capacity and motivation of individual secondary teachers.</w:t>
      </w:r>
    </w:p>
    <w:p>
      <w:pPr>
        <w:pStyle w:val="BodyText"/>
      </w:pPr>
      <w:r>
        <w:t xml:space="preserve">A primary challenge identified is the rapid pace of policy changes versus the slower adaptation curve of professional development programs. In</w:t>
      </w:r>
      <w:r>
        <w:t xml:space="preserve"> </w:t>
      </w:r>
      <w:r>
        <w:rPr>
          <w:bCs/>
          <w:b/>
        </w:rPr>
        <w:t xml:space="preserve">Tashkent, Uzbekistan</w:t>
      </w:r>
      <w:r>
        <w:t xml:space="preserve">, many veteran educators feel overwhelmed by sudden technological mandates. Therefore, a</w:t>
      </w:r>
      <w:r>
        <w:t xml:space="preserve"> </w:t>
      </w:r>
      <w:r>
        <w:rPr>
          <w:bCs/>
          <w:b/>
        </w:rPr>
        <w:t xml:space="preserve">Teacher Secondary</w:t>
      </w:r>
      <w:r>
        <w:t xml:space="preserve"> </w:t>
      </w:r>
      <w:r>
        <w:t xml:space="preserve">support system must be robust enough to provide continuous mentorship rather than just one-off workshops.</w:t>
      </w:r>
    </w:p>
    <w:p>
      <w:pPr>
        <w:pStyle w:val="BodyText"/>
      </w:pPr>
      <w:r>
        <w:t xml:space="preserve">The context-specific nature of education in</w:t>
      </w:r>
      <w:r>
        <w:t xml:space="preserve"> </w:t>
      </w:r>
      <w:r>
        <w:rPr>
          <w:bCs/>
          <w:b/>
        </w:rPr>
        <w:t xml:space="preserve">Tashkent, Uzbekistan</w:t>
      </w:r>
      <w:r>
        <w:t xml:space="preserve">, means that imported educational models from Western countries cannot simply be copy-pasted. They must be localized. The role of the secondary teacher here is not merely to follow a curriculum, but to adapt and contextualize it for local realities.</w:t>
      </w:r>
    </w:p>
    <w:bookmarkEnd w:id="23"/>
    <w:bookmarkStart w:id="24" w:name="conclusion"/>
    <w:p>
      <w:pPr>
        <w:pStyle w:val="Heading3"/>
      </w:pPr>
      <w:r>
        <w:t xml:space="preserve">Conclusion and Strategic Recommendations</w:t>
      </w:r>
    </w:p>
    <w:p>
      <w:pPr>
        <w:pStyle w:val="FirstParagraph"/>
      </w:pPr>
      <w:r>
        <w:br/>
      </w:r>
    </w:p>
    <w:p>
      <w:pPr>
        <w:pStyle w:val="BodyText"/>
      </w:pPr>
      <w:r>
        <w:t xml:space="preserve">This presentation concludes that the efficacy of educational reforms in</w:t>
      </w:r>
      <w:r>
        <w:t xml:space="preserve"> </w:t>
      </w:r>
      <w:r>
        <w:rPr>
          <w:bCs/>
          <w:b/>
        </w:rPr>
        <w:t xml:space="preserve">Tashkent, Uzbekistan</w:t>
      </w:r>
      <w:r>
        <w:t xml:space="preserve">, is fundamentally tied to the empowerment of secondary teachers. We recommend a multi-pronged strategy to elevate their role:</w:t>
      </w:r>
    </w:p>
    <w:p>
      <w:pPr>
        <w:numPr>
          <w:ilvl w:val="0"/>
          <w:numId w:val="1003"/>
        </w:numPr>
        <w:pStyle w:val="Compact"/>
      </w:pPr>
      <w:r>
        <w:rPr>
          <w:bCs/>
          <w:b/>
        </w:rPr>
        <w:t xml:space="preserve">Continuous Professional Development (CPD):</w:t>
      </w:r>
      <w:r>
        <w:t xml:space="preserve"> </w:t>
      </w:r>
      <w:r>
        <w:t xml:space="preserve">Mandating and funding regular CPDs that focus on both pedagogical innovation and mental well-being for secondary teachers.</w:t>
      </w:r>
    </w:p>
    <w:p>
      <w:pPr>
        <w:numPr>
          <w:ilvl w:val="0"/>
          <w:numId w:val="1003"/>
        </w:numPr>
        <w:pStyle w:val="Compact"/>
      </w:pPr>
      <w:r>
        <w:t xml:space="preserve">Incentive Structures: Creating clear career progression pathways for exceptional secondary teachers in</w:t>
      </w:r>
      <w:r>
        <w:t xml:space="preserve"> </w:t>
      </w:r>
      <w:r>
        <w:rPr>
          <w:bCs/>
          <w:b/>
        </w:rPr>
        <w:t xml:space="preserve">Tashkent, Uzbekistan</w:t>
      </w:r>
      <w:r>
        <w:t xml:space="preserve">, to retain talent within the public school system.</w:t>
      </w:r>
    </w:p>
    <w:p>
      <w:pPr>
        <w:numPr>
          <w:ilvl w:val="0"/>
          <w:numId w:val="1003"/>
        </w:numPr>
        <w:pStyle w:val="Compact"/>
      </w:pPr>
      <w:r>
        <w:t xml:space="preserve">Digital Equity Initiatives: Ensuring that all secondary teachers have access to equal technological resources, preventing a two-tiered education system within the city.</w:t>
      </w:r>
    </w:p>
    <w:p>
      <w:pPr>
        <w:pStyle w:val="FirstParagraph"/>
      </w:pPr>
      <w:r>
        <w:t xml:space="preserve">By empowering the</w:t>
      </w:r>
      <w:r>
        <w:t xml:space="preserve"> </w:t>
      </w:r>
      <w:r>
        <w:rPr>
          <w:bCs/>
          <w:b/>
        </w:rPr>
        <w:t xml:space="preserve">Teacher Secondary</w:t>
      </w:r>
      <w:r>
        <w:t xml:space="preserve">,</w:t>
      </w:r>
      <w:r>
        <w:t xml:space="preserve"> </w:t>
      </w:r>
      <w:r>
        <w:rPr>
          <w:bCs/>
          <w:b/>
        </w:rPr>
        <w:t xml:space="preserve">Tashkent, Uzbekistan</w:t>
      </w:r>
      <w:r>
        <w:t xml:space="preserve">, can unlock its demographic dividend and build a highly educated workforce capable of driving sustainable economic growth in Central Asia.</w:t>
      </w:r>
    </w:p>
    <w:bookmarkEnd w:id="24"/>
    <w:bookmarkStart w:id="25" w:name="references"/>
    <w:p>
      <w:pPr>
        <w:pStyle w:val="Heading3"/>
      </w:pPr>
      <w:r>
        <w:t xml:space="preserve">References (Selected)</w:t>
      </w:r>
    </w:p>
    <w:p>
      <w:pPr>
        <w:pStyle w:val="FirstParagraph"/>
      </w:pPr>
      <w:r>
        <w:br/>
      </w:r>
    </w:p>
    <w:p>
      <w:pPr>
        <w:numPr>
          <w:ilvl w:val="0"/>
          <w:numId w:val="1004"/>
        </w:numPr>
        <w:pStyle w:val="Compact"/>
      </w:pPr>
      <w:r>
        <w:t xml:space="preserve">Ministry of Public Education, Republic of Uzbekistan. (2023). "National Strategy for Development of the New Type of Uzbekistan."</w:t>
      </w:r>
    </w:p>
    <w:p>
      <w:pPr>
        <w:numPr>
          <w:ilvl w:val="0"/>
          <w:numId w:val="1004"/>
        </w:numPr>
        <w:pStyle w:val="Compact"/>
      </w:pPr>
      <w:r>
        <w:t xml:space="preserve">Karimov, A. (2021). "Urban Educational Trends in Tashkent: A Socio-Pedagogical Analysis." Tashkent Press.</w:t>
      </w:r>
    </w:p>
    <w:p>
      <w:pPr>
        <w:numPr>
          <w:ilvl w:val="0"/>
          <w:numId w:val="1004"/>
        </w:numPr>
        <w:pStyle w:val="Compact"/>
      </w:pPr>
      <w:r>
        <w:t xml:space="preserve">UNESCO Regional Bureau for Education in Asia and the Pacific. (2024). "Teacher Competency Frameworks in Post-Soviet States."</w:t>
      </w:r>
    </w:p>
    <w:p>
      <w:pPr>
        <w:pStyle w:val="FirstParagraph"/>
      </w:pPr>
      <w:r>
        <w:t xml:space="preserve">The integration of global best practices with local realities remains the cornerstone of educational success.</w:t>
      </w:r>
    </w:p>
    <w:p>
      <w:pPr>
        <w:pStyle w:val="BodyText"/>
      </w:pPr>
      <w:r>
        <w:rPr>
          <w:bCs/>
          <w:b/>
        </w:rPr>
        <w:t xml:space="preserve">Acknowledgments:</w:t>
      </w:r>
      <w:r>
        <w:t xml:space="preserve"> </w:t>
      </w:r>
      <w:r>
        <w:t xml:space="preserve">Special thanks to the schools and educators in Tashkent, Uzbekistan who participated in this study.</w:t>
      </w:r>
      <w:r>
        <w:br/>
      </w:r>
      <w:r>
        <w:t xml:space="preserve">For further information on Teacher Secondary roles, contact: research@academic-poster.edu.</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Education in Tashkent</dc:title>
  <dc:creator/>
  <dc:language>en</dc:language>
  <cp:keywords/>
  <dcterms:created xsi:type="dcterms:W3CDTF">2026-07-29T16:07:57Z</dcterms:created>
  <dcterms:modified xsi:type="dcterms:W3CDTF">2026-07-29T16:07:57Z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