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Kuwait</w:t>
      </w:r>
      <w:r>
        <w:t xml:space="preserve"> </w:t>
      </w:r>
      <w:r>
        <w:t xml:space="preserve">City</w:t>
      </w:r>
    </w:p>
    <w:bookmarkStart w:id="21" w:name="X524eec73991a8e7fb7cc80c9dbf160a30c20177"/>
    <w:p>
      <w:pPr>
        <w:pStyle w:val="Heading1"/>
      </w:pPr>
      <w:r>
        <w:t xml:space="preserve">The Role of the Translator Interpreter in Kuwait City</w:t>
      </w:r>
    </w:p>
    <w:bookmarkStart w:id="20" w:name="X8cb2991dd9d90b7e68502cedda1aa9a162506a2"/>
    <w:p>
      <w:pPr>
        <w:pStyle w:val="Heading2"/>
      </w:pPr>
      <w:r>
        <w:t xml:space="preserve">Bridging Linguistic Cultures in a Globalized Hub of Commerce and Diplomacy</w:t>
      </w:r>
    </w:p>
    <w:p>
      <w:pPr>
        <w:pStyle w:val="FirstParagraph"/>
      </w:pPr>
      <w:r>
        <w:t xml:space="preserve">Academic Poster Presentation | Presented by [Your Name/Organization]</w:t>
      </w:r>
    </w:p>
    <w:bookmarkEnd w:id="20"/>
    <w:bookmarkEnd w:id="21"/>
    <w:bookmarkStart w:id="22" w:name="abstract"/>
    <w:p>
      <w:pPr>
        <w:pStyle w:val="Heading3"/>
      </w:pPr>
      <w:r>
        <w:t xml:space="preserve">Abstract</w:t>
      </w:r>
    </w:p>
    <w:p>
      <w:pPr>
        <w:pStyle w:val="FirstParagraph"/>
      </w:pPr>
      <w:r>
        <w:t xml:space="preserve">This academic poster explores the critical role of professional translators and interpreters within the dynamic socio-linguistic landscape of Kuwait City. As a central hub for international diplomacy, commerce, and healthcare in the Gulf Cooperation Council (GCC) region, Kuwait City demands high standards of linguistic precision. This presentation analyzes the evolving needs for both written translation and oral interpretation services in this specific geographic context. We examine how cultural nuances, legal frameworks in Kuwait City influence professional practice and why specialized expertise is indispensable for effective communication.</w:t>
      </w:r>
    </w:p>
    <w:bookmarkEnd w:id="22"/>
    <w:bookmarkStart w:id="23" w:name="the-linguistic-landscape-of-kuwait-city"/>
    <w:p>
      <w:pPr>
        <w:pStyle w:val="Heading3"/>
      </w:pPr>
      <w:r>
        <w:t xml:space="preserve">The Linguistic Landscape of Kuwait City</w:t>
      </w:r>
    </w:p>
    <w:p>
      <w:pPr>
        <w:pStyle w:val="FirstParagraph"/>
      </w:pPr>
      <w:r>
        <w:t xml:space="preserve">Kuwait City represents a unique microcosm where Arabic serves as the official language, yet English functions as the primary lingua franca for business and international relations. The demographic composition of Kuwait City includes a significant expatriate population from South Asia, Southeast Asia, Europe, and North America. Consequently:</w:t>
      </w:r>
    </w:p>
    <w:p>
      <w:pPr>
        <w:numPr>
          <w:ilvl w:val="0"/>
          <w:numId w:val="1001"/>
        </w:numPr>
        <w:pStyle w:val="Compact"/>
      </w:pPr>
      <w:r>
        <w:rPr>
          <w:bCs/>
          <w:b/>
        </w:rPr>
        <w:t xml:space="preserve">Dual-Language Environment:</w:t>
      </w:r>
      <w:r>
        <w:t xml:space="preserve"> </w:t>
      </w:r>
      <w:r>
        <w:t xml:space="preserve">Daily interactions in Kuwait City often require seamless switching between Modern Standard Arabic (MSA), Gulf dialects, and English.</w:t>
      </w:r>
    </w:p>
    <w:p>
      <w:pPr>
        <w:numPr>
          <w:ilvl w:val="0"/>
          <w:numId w:val="1001"/>
        </w:numPr>
        <w:pStyle w:val="Compact"/>
      </w:pPr>
      <w:r>
        <w:rPr>
          <w:bCs/>
          <w:b/>
        </w:rPr>
        <w:t xml:space="preserve">Economic Drivers:</w:t>
      </w:r>
    </w:p>
    <w:p>
      <w:pPr>
        <w:numPr>
          <w:ilvl w:val="0"/>
          <w:numId w:val="1001"/>
        </w:numPr>
        <w:pStyle w:val="Compact"/>
      </w:pPr>
      <w:r>
        <w:rPr>
          <w:bCs/>
          <w:b/>
        </w:rPr>
        <w:t xml:space="preserve">Diplomatic Presence:</w:t>
      </w:r>
      <w:r>
        <w:t xml:space="preserve"> </w:t>
      </w:r>
      <w:r>
        <w:t xml:space="preserve">As a host to numerous international organizations and embassies in the Kuwait City area, high-stakes interpretation is vital for maintaining political stability and diplomatic relations.</w:t>
      </w:r>
    </w:p>
    <w:bookmarkEnd w:id="23"/>
    <w:bookmarkStart w:id="24" w:name="X25ae6c99a700e885ab67733b9bfcb6c298b8fc9"/>
    <w:p>
      <w:pPr>
        <w:pStyle w:val="Heading3"/>
      </w:pPr>
      <w:r>
        <w:t xml:space="preserve">Core Challenges for Translator Interpreters in Kuwait</w:t>
      </w:r>
    </w:p>
    <w:p>
      <w:pPr>
        <w:pStyle w:val="FirstParagraph"/>
      </w:pPr>
      <w:r>
        <w:t xml:space="preserve">The profession faces distinct challenges within the Kuwait City context. Translators must navigate complex legal terminologies specific to Kuwaiti law, which is a blend of civil and Islamic jurisprudence. Misinterpretations in this arena can have severe legal consequences.</w:t>
      </w:r>
    </w:p>
    <w:p>
      <w:pPr>
        <w:pStyle w:val="BodyText"/>
      </w:pPr>
      <w:r>
        <w:rPr>
          <w:bCs/>
          <w:b/>
        </w:rPr>
        <w:t xml:space="preserve">Key Insight:</w:t>
      </w:r>
      <w:r>
        <w:t xml:space="preserve"> </w:t>
      </w:r>
      <w:r>
        <w:t xml:space="preserve">In Kuwait City, context is king. A literal translation often fails to convey the appropriate level of formality or respect required in Gulf Arab culture. Professional Translator Interpreters must possess deep cultural intelligence, not just linguistic fluency, to succeed in the Kuwait City market.</w:t>
      </w:r>
    </w:p>
    <w:p>
      <w:pPr>
        <w:pStyle w:val="BodyText"/>
      </w:pPr>
      <w:r>
        <w:rPr>
          <w:bCs/>
          <w:b/>
        </w:rPr>
        <w:t xml:space="preserve">Cultural Sensitivity:</w:t>
      </w:r>
      <w:r>
        <w:t xml:space="preserve"> </w:t>
      </w:r>
      <w:r>
        <w:t xml:space="preserve">Interpretation in medical settings, such as hospitals located throughout Kuwait City requires extreme care regarding privacy norms and gender sensitivities common in Arab society.</w:t>
      </w:r>
    </w:p>
    <w:bookmarkEnd w:id="24"/>
    <w:bookmarkStart w:id="25" w:name="section"/>
    <w:p>
      <w:pPr>
        <w:pStyle w:val="Heading3"/>
      </w:pPr>
    </w:p>
    <w:p>
      <w:pPr>
        <w:pStyle w:val="FirstParagraph"/>
      </w:pPr>
      <w:r>
        <w:t xml:space="preserve">This presentation focuses on three primary sectors in Kuwait City where the demand for Translator Interpreter services is highest:</w:t>
      </w:r>
    </w:p>
    <w:p>
      <w:pPr>
        <w:numPr>
          <w:ilvl w:val="0"/>
          <w:numId w:val="1002"/>
        </w:numPr>
        <w:pStyle w:val="Compact"/>
      </w:pPr>
      <w:r>
        <w:rPr>
          <w:bCs/>
          <w:b/>
        </w:rPr>
        <w:t xml:space="preserve">Literary and Media Translation:</w:t>
      </w:r>
      <w:r>
        <w:t xml:space="preserve"> </w:t>
      </w:r>
      <w:r>
        <w:t xml:space="preserve">Analyzing how news outlets and publishing houses in Kuwait City handle cross-cultural content.</w:t>
      </w:r>
    </w:p>
    <w:p>
      <w:pPr>
        <w:numPr>
          <w:ilvl w:val="0"/>
          <w:numId w:val="1002"/>
        </w:numPr>
        <w:pStyle w:val="Compact"/>
      </w:pPr>
      <w:r>
        <w:rPr>
          <w:bCs/>
          <w:b/>
        </w:rPr>
        <w:t xml:space="preserve">Court and Legal Interpretation:</w:t>
      </w:r>
      <w:r>
        <w:t xml:space="preserve"> </w:t>
      </w:r>
      <w:r>
        <w:t xml:space="preserve">The role of certified interpreters in Kuwaiti courts, particularly in cases involving foreign nationals or international commercial disputes.</w:t>
      </w:r>
    </w:p>
    <w:p>
      <w:pPr>
        <w:numPr>
          <w:ilvl w:val="0"/>
          <w:numId w:val="1002"/>
        </w:numPr>
        <w:pStyle w:val="Compact"/>
      </w:pPr>
      <w:r>
        <w:rPr>
          <w:bCs/>
          <w:b/>
        </w:rPr>
        <w:t xml:space="preserve">Municipal Services:</w:t>
      </w:r>
      <w:r>
        <w:t xml:space="preserve"> </w:t>
      </w:r>
      <w:r>
        <w:t xml:space="preserve">The need for accessible language services in government offices within Kuwait City to ensure equitable access for all residents.</w:t>
      </w:r>
    </w:p>
    <w:bookmarkEnd w:id="25"/>
    <w:bookmarkStart w:id="26" w:name="implications-for-the-profession"/>
    <w:p>
      <w:pPr>
        <w:pStyle w:val="Heading3"/>
      </w:pPr>
      <w:r>
        <w:t xml:space="preserve">Implications for the Profession</w:t>
      </w:r>
    </w:p>
    <w:p>
      <w:pPr>
        <w:pStyle w:val="FirstParagraph"/>
      </w:pPr>
      <w:r>
        <w:t xml:space="preserve">The analysis reveals a growing gap between general linguistic ability and professional qualification. In Kuwait City, there is an urgent need for standardized certification processes that recognize both language proficiency and subject-matter expertise.</w:t>
      </w:r>
    </w:p>
    <w:p>
      <w:pPr>
        <w:numPr>
          <w:ilvl w:val="0"/>
          <w:numId w:val="1003"/>
        </w:numPr>
        <w:pStyle w:val="Compact"/>
      </w:pPr>
      <w:r>
        <w:rPr>
          <w:bCs/>
          <w:b/>
        </w:rPr>
        <w:t xml:space="preserve">Technology vs Human Touch:</w:t>
      </w:r>
      <w:r>
        <w:t xml:space="preserve"> </w:t>
      </w:r>
      <w:r>
        <w:t xml:space="preserve">While machine translation tools are prevalent, they often fail to capture the nuanced dialects spoken in Kuwait City. Human Translator Interpreters remain essential for quality assurance.</w:t>
      </w:r>
    </w:p>
    <w:p>
      <w:pPr>
        <w:numPr>
          <w:ilvl w:val="0"/>
          <w:numId w:val="1003"/>
        </w:numPr>
        <w:pStyle w:val="Compact"/>
      </w:pPr>
      <w:r>
        <w:rPr>
          <w:bCs/>
          <w:b/>
        </w:rPr>
        <w:t xml:space="preserve">Ethical Standards:</w:t>
      </w:r>
      <w:r>
        <w:t xml:space="preserve"> </w:t>
      </w:r>
      <w:r>
        <w:t xml:space="preserve">Upholding confidentiality is paramount, especially given the tight-knit nature of communities in Kuwait City.</w:t>
      </w:r>
    </w:p>
    <w:p>
      <w:pPr>
        <w:numPr>
          <w:ilvl w:val="0"/>
          <w:numId w:val="1003"/>
        </w:numPr>
        <w:pStyle w:val="Compact"/>
      </w:pPr>
      <w:r>
        <w:rPr>
          <w:bCs/>
          <w:b/>
        </w:rPr>
        <w:t xml:space="preserve">Sustainability:</w:t>
      </w:r>
      <w:r>
        <w:t xml:space="preserve"> </w:t>
      </w:r>
      <w:r>
        <w:t xml:space="preserve">Promoting careers in translation and interpretation within Kuwait City can help preserve Arabic language integrity while facilitating global integration.</w:t>
      </w:r>
    </w:p>
    <w:bookmarkEnd w:id="26"/>
    <w:p>
      <w:pPr>
        <w:pStyle w:val="FirstParagraph"/>
      </w:pPr>
      <w:r>
        <w:t xml:space="preserve">In conclusion, the Translator Interpreter plays a pivotal role in the functionality of Kuwait City. They are not merely conduits of words but cultural brokers who facilitate understanding in a multicultural society. For academic researchers, policymakers, and industry leaders in Kuwait City, investing in professional development for linguists is an investment in societal cohesion and economic growth.</w:t>
      </w:r>
    </w:p>
    <w:p>
      <w:pPr>
        <w:pStyle w:val="BodyText"/>
      </w:pPr>
      <w:r>
        <w:t xml:space="preserve">We call for increased collaboration between academic institutions and the private sector to develop specialized training programs tailored to the unique demands of working as a Translator Interpreter in Kuwait City. Future research should focus on digital transformation impacts on these professions within the GCC region, with Kuwait City serving as a primary case study.</w:t>
      </w:r>
    </w:p>
    <w:bookmarkStart w:id="27" w:name="references"/>
    <w:p>
      <w:pPr>
        <w:pStyle w:val="Heading3"/>
      </w:pPr>
      <w:r>
        <w:t xml:space="preserve">References</w:t>
      </w:r>
    </w:p>
    <w:p>
      <w:pPr>
        <w:pStyle w:val="FirstParagraph"/>
      </w:pPr>
      <w:r>
        <w:t xml:space="preserve">1. Al-Khalifa, S. (2020). *Linguistic Diversity in the Gulf Region*. Journal of Arabic Studies.</w:t>
      </w:r>
    </w:p>
    <w:p>
      <w:pPr>
        <w:pStyle w:val="BodyText"/>
      </w:pPr>
      <w:r>
        <w:t xml:space="preserve">2. Ministry of Foreign Affairs Kuwait City Reports (Annual).</w:t>
      </w:r>
    </w:p>
    <w:p>
      <w:pPr>
        <w:pStyle w:val="BodyText"/>
      </w:pPr>
      <w:r>
        <w:t xml:space="preserve">3. Baker, M., &amp; Saldanha, G. (2019). *Encyclopedia of Translation Studies*. Routledge.</w:t>
      </w:r>
    </w:p>
    <w:p>
      <w:pPr>
        <w:pStyle w:val="BodyText"/>
      </w:pPr>
      <w:r>
        <w:t xml:space="preserve">4. Local Legal Frameworks of the State of Kuwait regarding Official Documentation.</w:t>
      </w:r>
    </w:p>
    <w:bookmarkEnd w:id="27"/>
    <w:p>
      <w:pPr>
        <w:pStyle w:val="BodyText"/>
      </w:pPr>
      <w:r>
        <w:t xml:space="preserve">© 2023 Academic Poster Presentation on Translator Interpreter Services in Kuwait City</w:t>
      </w:r>
    </w:p>
    <w:p>
      <w:pPr>
        <w:pStyle w:val="BodyText"/>
      </w:pPr>
      <w:r>
        <w:t xml:space="preserve">Contact: [Insert Email Address] | Website: [Insert Website URL]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Kuwait City</dc:title>
  <dc:creator/>
  <dc:language>en</dc:language>
  <cp:keywords/>
  <dcterms:created xsi:type="dcterms:W3CDTF">2026-07-29T17:34:29Z</dcterms:created>
  <dcterms:modified xsi:type="dcterms:W3CDTF">2026-07-29T17:34:29Z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