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UAE</w:t>
      </w:r>
      <w:r>
        <w:t xml:space="preserve"> </w:t>
      </w:r>
      <w:r>
        <w:t xml:space="preserve">Dubai</w:t>
      </w:r>
    </w:p>
    <w:bookmarkStart w:id="21" w:name="X5a55c42128af6f574790a3bb51709df5abc4a21"/>
    <w:p>
      <w:pPr>
        <w:pStyle w:val="Heading1"/>
      </w:pPr>
      <w:r>
        <w:t xml:space="preserve">Bridging Linguistic Horizons in the Heart of Innovation</w:t>
      </w:r>
    </w:p>
    <w:bookmarkStart w:id="20" w:name="Xc6a7124a3592782cc49bed8cda00e52c00ed695"/>
    <w:p>
      <w:pPr>
        <w:pStyle w:val="Heading2"/>
      </w:pPr>
      <w:r>
        <w:t xml:space="preserve">The Critical Role of Translator and Interpreter Services in United Arab Emirates Dubai</w:t>
      </w:r>
    </w:p>
    <w:p>
      <w:pPr>
        <w:pStyle w:val="FirstParagraph"/>
      </w:pPr>
      <w:r>
        <w:rPr>
          <w:bCs/>
          <w:b/>
        </w:rPr>
        <w:t xml:space="preserve">A Poster Presentation for Academic and Professional Discourse</w:t>
      </w:r>
    </w:p>
    <w:bookmarkEnd w:id="20"/>
    <w:bookmarkEnd w:id="21"/>
    <w:bookmarkStart w:id="23" w:name="introduction"/>
    <w:bookmarkStart w:id="22" w:name="introduction-and-context"/>
    <w:p>
      <w:pPr>
        <w:pStyle w:val="Heading3"/>
      </w:pPr>
      <w:r>
        <w:t xml:space="preserve">Introduction and Context</w:t>
      </w:r>
    </w:p>
    <w:p>
      <w:pPr>
        <w:pStyle w:val="FirstParagraph"/>
      </w:pPr>
      <w:r>
        <w:t xml:space="preserve">Dubai, a global metropolis within the United Arab Emirates (UAE), stands as one of the most linguistically diverse cities on Earth. With expatriates comprising nearly 90% of its population, Dubai functions as a cosmopolitan hub where dozens of languages intersect daily. This unique demographic landscape necessitates robust frameworks for linguistic mediation. This poster presentation explores the multifaceted role of the</w:t>
      </w:r>
      <w:r>
        <w:t xml:space="preserve"> </w:t>
      </w:r>
      <w:r>
        <w:rPr>
          <w:bCs/>
          <w:b/>
        </w:rPr>
        <w:t xml:space="preserve">Translator and Interpreter</w:t>
      </w:r>
      <w:r>
        <w:t xml:space="preserve"> </w:t>
      </w:r>
      <w:r>
        <w:t xml:space="preserve">in this dynamic environment. We argue that these professionals are not merely passive conveyors of text and speech but are active agents in facilitating legal compliance, economic integration, healthcare equity, and cultural cohesion within the United Arab Emirates Dubai context.</w:t>
      </w:r>
    </w:p>
    <w:bookmarkEnd w:id="22"/>
    <w:bookmarkEnd w:id="23"/>
    <w:bookmarkStart w:id="25" w:name="methodology"/>
    <w:bookmarkStart w:id="24" w:name="methodological-framework"/>
    <w:p>
      <w:pPr>
        <w:pStyle w:val="Heading3"/>
      </w:pPr>
      <w:r>
        <w:t xml:space="preserve">Methodological Framework</w:t>
      </w:r>
    </w:p>
    <w:p>
      <w:pPr>
        <w:pStyle w:val="FirstParagraph"/>
      </w:pPr>
      <w:r>
        <w:t xml:space="preserve">This study employs a mixed-methods approach to evaluate the efficacy of translation and interpretation services in Dubai. Data was collected through:</w:t>
      </w:r>
    </w:p>
    <w:p>
      <w:pPr>
        <w:numPr>
          <w:ilvl w:val="0"/>
          <w:numId w:val="1001"/>
        </w:numPr>
        <w:pStyle w:val="Compact"/>
      </w:pPr>
      <w:r>
        <w:rPr>
          <w:bCs/>
          <w:b/>
        </w:rPr>
        <w:t xml:space="preserve">Semi-structured interviews</w:t>
      </w:r>
      <w:r>
        <w:t xml:space="preserve"> </w:t>
      </w:r>
      <w:r>
        <w:t xml:space="preserve">with certified legal interpreters working in Dubai courts.</w:t>
      </w:r>
    </w:p>
    <w:p>
      <w:pPr>
        <w:numPr>
          <w:ilvl w:val="0"/>
          <w:numId w:val="1001"/>
        </w:numPr>
        <w:pStyle w:val="Compact"/>
      </w:pPr>
      <w:r>
        <w:rPr>
          <w:bCs/>
          <w:b/>
        </w:rPr>
        <w:t xml:space="preserve">Case studies</w:t>
      </w:r>
      <w:r>
        <w:t xml:space="preserve"> </w:t>
      </w:r>
      <w:r>
        <w:t xml:space="preserve">from major healthcare institutions regarding medical interpretation accuracy.</w:t>
      </w:r>
    </w:p>
    <w:p>
      <w:pPr>
        <w:numPr>
          <w:ilvl w:val="0"/>
          <w:numId w:val="1001"/>
        </w:numPr>
        <w:pStyle w:val="Compact"/>
      </w:pPr>
      <w:r>
        <w:t xml:space="preserve">Quantitative Analysis of translation volumes in government sectors over the last five years, focusing on Arabic-English and Arabic-Hindi linguistic pairs which are predominant in the region.</w:t>
      </w:r>
    </w:p>
    <w:bookmarkEnd w:id="24"/>
    <w:bookmarkEnd w:id="25"/>
    <w:bookmarkStart w:id="29" w:name="key-findings"/>
    <w:p>
      <w:pPr>
        <w:pStyle w:val="Heading3"/>
      </w:pPr>
      <w:r>
        <w:t xml:space="preserve">Key Findings</w:t>
      </w:r>
    </w:p>
    <w:bookmarkStart w:id="26" w:name="legal-and-judicial-integrity"/>
    <w:p>
      <w:pPr>
        <w:pStyle w:val="Heading4"/>
      </w:pPr>
      <w:r>
        <w:t xml:space="preserve">1. Legal and Judicial Integrity</w:t>
      </w:r>
    </w:p>
    <w:p>
      <w:pPr>
        <w:pStyle w:val="FirstParagraph"/>
      </w:pPr>
      <w:r>
        <w:t xml:space="preserve">In the United Arab Emirates Dubai judicial system, the accuracy of translation is paramount. The legal framework requires all official documents to be notarized and translated by certified translators recognized by the Ministry of Justice. Our findings indicate that errors in legal interpretation can lead to severe miscarriages of justice. Furthermore, interpreters in Dubai courts often act as cultural brokers, explaining nuance-filled idioms and social contexts that a literal translation might miss, ensuring fair trials for non-Arabic speakers.</w:t>
      </w:r>
    </w:p>
    <w:bookmarkEnd w:id="26"/>
    <w:bookmarkStart w:id="27" w:name="healthcare-communication-equity"/>
    <w:p>
      <w:pPr>
        <w:pStyle w:val="Heading4"/>
      </w:pPr>
      <w:r>
        <w:t xml:space="preserve">2. Healthcare Communication Equity</w:t>
      </w:r>
    </w:p>
    <w:p>
      <w:pPr>
        <w:pStyle w:val="FirstParagraph"/>
      </w:pPr>
      <w:r>
        <w:t xml:space="preserve">Miscommunication in healthcare settings can be life-threatening. In Dubai’s bustling hospitals and clinics, medical interpreters bridge the gap between doctors and patients from over 200 nationalities. Our research highlights a critical shortage of specialized medical interpreters fluent in languages such as Tagalog, Urdu, and Mandarin. While generalist translators may suffice for administrative tasks, clinical encounters require specialists who understand medical terminology in both Source and Target languages to ensure patient safety.</w:t>
      </w:r>
    </w:p>
    <w:bookmarkEnd w:id="27"/>
    <w:bookmarkStart w:id="28" w:name="economic-facilitation"/>
    <w:p>
      <w:pPr>
        <w:pStyle w:val="Heading4"/>
      </w:pPr>
      <w:r>
        <w:t xml:space="preserve">3. Economic Facilitation</w:t>
      </w:r>
    </w:p>
    <w:p>
      <w:pPr>
        <w:pStyle w:val="FirstParagraph"/>
      </w:pPr>
      <w:r>
        <w:t xml:space="preserve">Dubai’s economy is heavily reliant on international trade, tourism, and real estate. The role of the</w:t>
      </w:r>
      <w:r>
        <w:t xml:space="preserve"> </w:t>
      </w:r>
      <w:r>
        <w:rPr>
          <w:bCs/>
          <w:b/>
        </w:rPr>
        <w:t xml:space="preserve">Translator and Interpreter</w:t>
      </w:r>
    </w:p>
    <w:bookmarkEnd w:id="28"/>
    <w:bookmarkEnd w:id="29"/>
    <w:bookmarkStart w:id="31" w:name="challenges"/>
    <w:bookmarkStart w:id="30" w:name="current-challenges-in-uae-dubai"/>
    <w:p>
      <w:pPr>
        <w:pStyle w:val="Heading3"/>
      </w:pPr>
      <w:r>
        <w:t xml:space="preserve">Current Challenges in UAE Dubai</w:t>
      </w:r>
    </w:p>
    <w:p>
      <w:pPr>
        <w:pStyle w:val="FirstParagraph"/>
      </w:pPr>
      <w:r>
        <w:t xml:space="preserve">Despite the advancements, several challenges persist:</w:t>
      </w:r>
    </w:p>
    <w:p>
      <w:pPr>
        <w:numPr>
          <w:ilvl w:val="0"/>
          <w:numId w:val="1002"/>
        </w:numPr>
        <w:pStyle w:val="Compact"/>
      </w:pPr>
      <w:r>
        <w:rPr>
          <w:bCs/>
          <w:b/>
        </w:rPr>
        <w:t xml:space="preserve">Certification Standards:</w:t>
      </w:r>
    </w:p>
    <w:p>
      <w:pPr>
        <w:numPr>
          <w:ilvl w:val="0"/>
          <w:numId w:val="1002"/>
        </w:numPr>
        <w:pStyle w:val="Compact"/>
      </w:pPr>
      <w:r>
        <w:rPr>
          <w:bCs/>
          <w:b/>
        </w:rPr>
        <w:t xml:space="preserve">Tech Integration vs. Human Touch:</w:t>
      </w:r>
    </w:p>
    <w:p>
      <w:pPr>
        <w:numPr>
          <w:ilvl w:val="0"/>
          <w:numId w:val="1002"/>
        </w:numPr>
        <w:pStyle w:val="Compact"/>
      </w:pPr>
      <w:r>
        <w:t xml:space="preserve">Linguistic Diversity: Most translation resources focus on Arabic and English. There is a significant gap in resources for emerging languages spoken by newer demographic groups in Dubai, such as Filipino, Bengali, and various Eastern European languages.</w:t>
      </w:r>
    </w:p>
    <w:bookmarkEnd w:id="30"/>
    <w:bookmarkEnd w:id="31"/>
    <w:bookmarkStart w:id="33" w:name="recommendations"/>
    <w:bookmarkStart w:id="32" w:name="recommendations-for-policy-and-practice"/>
    <w:p>
      <w:pPr>
        <w:pStyle w:val="Heading3"/>
      </w:pPr>
      <w:r>
        <w:t xml:space="preserve">Recommendations for Policy and Practice</w:t>
      </w:r>
    </w:p>
    <w:p>
      <w:pPr>
        <w:pStyle w:val="FirstParagraph"/>
      </w:pPr>
      <w:r>
        <w:t xml:space="preserve">To enhance the efficacy of translation and interpretation services in United Arab Emirates Dubai, we propose the following:</w:t>
      </w:r>
    </w:p>
    <w:p>
      <w:pPr>
        <w:numPr>
          <w:ilvl w:val="0"/>
          <w:numId w:val="1003"/>
        </w:numPr>
        <w:pStyle w:val="Compact"/>
      </w:pPr>
      <w:r>
        <w:t xml:space="preserve">Mandatory Specialized Training:Licensing bodies should require specialized certification for interpreters working in healthcare and legal sectors.</w:t>
      </w:r>
    </w:p>
    <w:p>
      <w:pPr>
        <w:numPr>
          <w:ilvl w:val="0"/>
          <w:numId w:val="1003"/>
        </w:numPr>
        <w:pStyle w:val="Compact"/>
      </w:pPr>
      <w:r>
        <w:t xml:space="preserve">Promotion of Local Talent:Incentives should be provided to train native speakers of minority languages in professional translation techniques.</w:t>
      </w:r>
    </w:p>
    <w:p>
      <w:pPr>
        <w:numPr>
          <w:ilvl w:val="0"/>
          <w:numId w:val="1003"/>
        </w:numPr>
        <w:pStyle w:val="Compact"/>
      </w:pPr>
      <w:r>
        <w:t xml:space="preserve">Digital Infrastructure:The government of Dubai should invest in secure, encrypted platforms for remote interpreting services to support the growing demand for virtual communication.</w:t>
      </w:r>
    </w:p>
    <w:bookmarkEnd w:id="32"/>
    <w:bookmarkEnd w:id="33"/>
    <w:bookmarkStart w:id="34" w:name="conclusion"/>
    <w:p>
      <w:pPr>
        <w:pStyle w:val="Heading3"/>
      </w:pPr>
      <w:r>
        <w:t xml:space="preserve">Conclusion</w:t>
      </w:r>
    </w:p>
    <w:p>
      <w:pPr>
        <w:pStyle w:val="FirstParagraph"/>
      </w:pPr>
      <w:r>
        <w:t xml:space="preserve">The landscape of United Arab Emirates Dubai is defined by its diversity, and the</w:t>
      </w:r>
    </w:p>
    <w:p>
      <w:pPr>
        <w:pStyle w:val="BodyText"/>
      </w:pPr>
      <w:r>
        <w:t xml:space="preserve">Translator and Interpreter</w:t>
      </w:r>
    </w:p>
    <w:bookmarkEnd w:id="34"/>
    <w:p>
      <w:pPr>
        <w:pStyle w:val="BodyText"/>
      </w:pPr>
      <w:r>
        <w:rPr>
          <w:bCs/>
          <w:b/>
        </w:rPr>
        <w:t xml:space="preserve">Contact Information:</w:t>
      </w:r>
    </w:p>
    <w:p>
      <w:pPr>
        <w:pStyle w:val="BodyText"/>
      </w:pPr>
      <w:r>
        <w:t xml:space="preserve">Name of Presenter</w:t>
      </w:r>
    </w:p>
    <w:p>
      <w:pPr>
        <w:pStyle w:val="BodyText"/>
      </w:pPr>
      <w:r>
        <w:t xml:space="preserve">Affiliation Department of Linguistics and Translation Studies</w:t>
      </w:r>
      <w:r>
        <w:t xml:space="preserve"> </w:t>
      </w:r>
      <w:r>
        <w:t xml:space="preserve">&lt; p&gt;Email presenter@university.edu.ae</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UAE Dubai</dc:title>
  <dc:creator/>
  <dc:language>en</dc:language>
  <cp:keywords/>
  <dcterms:created xsi:type="dcterms:W3CDTF">2026-07-29T23:09:33Z</dcterms:created>
  <dcterms:modified xsi:type="dcterms:W3CDTF">2026-07-29T23:09:33Z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