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04198ded5a7e167224506af6fbca7942091ee9"/>
    <w:p>
      <w:pPr>
        <w:pStyle w:val="Heading1"/>
      </w:pPr>
      <w:r>
        <w:t xml:space="preserve">Bridging Linguistic Divides in a Global Hub: The Critical Role of Translator and Interpreter Services in United Kingdom London</w:t>
      </w:r>
    </w:p>
    <w:p>
      <w:pPr>
        <w:pStyle w:val="FirstParagraph"/>
      </w:pPr>
      <w:r>
        <w:t xml:space="preserve">An Academic Examination of Professional Standards, Socio-Economic Impact, and Cultural Mediation in the Capital City</w:t>
      </w:r>
    </w:p>
    <w:p>
      <w:pPr>
        <w:pStyle w:val="BodyText"/>
      </w:pPr>
      <w:r>
        <w:rPr>
          <w:bCs/>
          <w:b/>
        </w:rPr>
        <w:t xml:space="preserve">Author:</w:t>
      </w:r>
      <w:r>
        <w:t xml:space="preserve"> </w:t>
      </w:r>
      <w:r>
        <w:t xml:space="preserve">Dr. A. Sterling |</w:t>
      </w:r>
      <w:r>
        <w:t xml:space="preserve"> </w:t>
      </w:r>
      <w:r>
        <w:rPr>
          <w:bCs/>
          <w:b/>
        </w:rPr>
        <w:t xml:space="preserve">Affiliation:</w:t>
      </w:r>
      <w:r>
        <w:t xml:space="preserve"> </w:t>
      </w:r>
      <w:r>
        <w:t xml:space="preserve">Institute of Cross-Cultural Communication Studies</w:t>
      </w:r>
    </w:p>
    <w:p>
      <w:pPr>
        <w:pStyle w:val="BodyText"/>
      </w:pPr>
      <w:r>
        <w:rPr>
          <w:bCs/>
          <w:b/>
        </w:rPr>
        <w:t xml:space="preserve">Date:</w:t>
      </w:r>
      <w:r>
        <w:t xml:space="preserve"> </w:t>
      </w:r>
      <w:r>
        <w:t xml:space="preserve">October 2023 |</w:t>
      </w:r>
      <w:r>
        <w:t xml:space="preserve"> </w:t>
      </w:r>
      <w:r>
        <w:rPr>
          <w:bCs/>
          <w:b/>
        </w:rPr>
        <w:t xml:space="preserve">Presentation Venue:</w:t>
      </w:r>
      <w:r>
        <w:t xml:space="preserve">The London Convention Centre, United Kingdom London</w:t>
      </w:r>
    </w:p>
    <w:bookmarkEnd w:id="20"/>
    <w:bookmarkStart w:id="21" w:name="introduction-and-contextual-background"/>
    <w:p>
      <w:pPr>
        <w:pStyle w:val="Heading2"/>
      </w:pPr>
      <w:r>
        <w:t xml:space="preserve">1. Introduction and Contextual Background</w:t>
      </w:r>
    </w:p>
    <w:p>
      <w:pPr>
        <w:pStyle w:val="FirstParagraph"/>
      </w:pPr>
      <w:r>
        <w:rPr>
          <w:bCs/>
          <w:b/>
        </w:rPr>
        <w:t xml:space="preserve">LONDON</w:t>
      </w:r>
      <w:r>
        <w:t xml:space="preserve">, as one of the world’s most diverse metropolitan centers within the</w:t>
      </w:r>
      <w:r>
        <w:t xml:space="preserve"> </w:t>
      </w:r>
      <w:r>
        <w:rPr>
          <w:bCs/>
          <w:b/>
        </w:rPr>
        <w:t xml:space="preserve">United Kingdom London</w:t>
      </w:r>
      <w:r>
        <w:t xml:space="preserve"> </w:t>
      </w:r>
      <w:r>
        <w:t xml:space="preserve">region, presents a unique linguistic landscape. With over 300 languages spoken in its boroughs, the necessity for professional linguistic mediation is not merely a convenience but a fundamental civic requirement. This academic poster presentation investigates the distinct yet complementary roles of</w:t>
      </w:r>
      <w:r>
        <w:t xml:space="preserve"> </w:t>
      </w:r>
      <w:r>
        <w:rPr>
          <w:bCs/>
          <w:b/>
        </w:rPr>
        <w:t xml:space="preserve">Translator and Interpreter</w:t>
      </w:r>
      <w:r>
        <w:t xml:space="preserve"> </w:t>
      </w:r>
      <w:r>
        <w:t xml:space="preserve">professionals in facilitating access to justice, healthcare, education, and public services across the capital.</w:t>
      </w:r>
    </w:p>
    <w:p>
      <w:pPr>
        <w:pStyle w:val="BodyText"/>
      </w:pPr>
      <w:r>
        <w:t xml:space="preserve">The primary objective of this study is to analyze how high-quality language services mitigate social exclusion in</w:t>
      </w:r>
      <w:r>
        <w:t xml:space="preserve"> </w:t>
      </w:r>
      <w:r>
        <w:rPr>
          <w:bCs/>
          <w:b/>
        </w:rPr>
        <w:t xml:space="preserve">United Kingdom London</w:t>
      </w:r>
      <w:r>
        <w:t xml:space="preserve">. We argue that effective communication is a human right, and the professional integrity of</w:t>
      </w:r>
      <w:r>
        <w:t xml:space="preserve"> </w:t>
      </w:r>
      <w:r>
        <w:rPr>
          <w:bCs/>
          <w:b/>
        </w:rPr>
        <w:t xml:space="preserve">Translator and Interpreter</w:t>
      </w:r>
      <w:r>
        <w:t xml:space="preserve"> </w:t>
      </w:r>
      <w:r>
        <w:t xml:space="preserve">practitioners serves as the bedrock for an inclusive society. By examining case studies from NHS hospitals, legal courts in Westminster, and educational institutions across Greater London, this presentation highlights the critical infrastructure provided by these linguistic professionals.</w:t>
      </w:r>
    </w:p>
    <w:bookmarkEnd w:id="21"/>
    <w:bookmarkStart w:id="22" w:name="defining-the-professional-scope"/>
    <w:p>
      <w:pPr>
        <w:pStyle w:val="Heading2"/>
      </w:pPr>
      <w:r>
        <w:t xml:space="preserve">2. Defining the Professional Scope</w:t>
      </w:r>
    </w:p>
    <w:p>
      <w:pPr>
        <w:pStyle w:val="FirstParagraph"/>
      </w:pPr>
      <w:r>
        <w:t xml:space="preserve">A common misconception among the general public and even some institutional policymakers in the UK is that translation and interpreting are interchangeable. However, rigorous academic distinction must be maintained to ensure professional competence.</w:t>
      </w:r>
    </w:p>
    <w:p>
      <w:pPr>
        <w:numPr>
          <w:ilvl w:val="0"/>
          <w:numId w:val="1001"/>
        </w:numPr>
        <w:pStyle w:val="Compact"/>
      </w:pPr>
      <w:r>
        <w:rPr>
          <w:bCs/>
          <w:b/>
        </w:rPr>
        <w:t xml:space="preserve">Translation:</w:t>
      </w:r>
      <w:r>
        <w:t xml:space="preserve">The transformation of written text from a source language into a target language. In the context of London’s multicultural communities, this includes vital documents such as housing contracts, medical prescriptions, and legal affidavits.</w:t>
      </w:r>
    </w:p>
    <w:p>
      <w:pPr>
        <w:numPr>
          <w:ilvl w:val="0"/>
          <w:numId w:val="1001"/>
        </w:numPr>
        <w:pStyle w:val="Compact"/>
      </w:pPr>
      <w:r>
        <w:rPr>
          <w:bCs/>
          <w:b/>
        </w:rPr>
        <w:t xml:space="preserve">Interpreting:</w:t>
      </w:r>
      <w:r>
        <w:t xml:space="preserve">The oral or sign-language rendition of spoken communication from one language to another. This is critical in high-stakes environments such as police interviews at Scotland Yard, diplomatic negotiations at the Foreign Office, and emergency triage in A&amp;E departments across</w:t>
      </w:r>
      <w:r>
        <w:t xml:space="preserve"> </w:t>
      </w:r>
      <w:r>
        <w:rPr>
          <w:bCs/>
          <w:b/>
        </w:rPr>
        <w:t xml:space="preserve">United Kingdom London</w:t>
      </w:r>
      <w:r>
        <w:t xml:space="preserve">.</w:t>
      </w:r>
    </w:p>
    <w:p>
      <w:pPr>
        <w:pStyle w:val="FirstParagraph"/>
      </w:pPr>
      <w:r>
        <w:t xml:space="preserve">This study emphasizes that while both roles require fluency, they demand different cognitive skills and training protocols. The misallocation of these roles can lead to catastrophic errors in legal proceedings or medical diagnoses.</w:t>
      </w:r>
    </w:p>
    <w:bookmarkEnd w:id="22"/>
    <w:bookmarkStart w:id="23" w:name="Xc345870aa0d1d81516a53482d2c5027d09806b0"/>
    <w:p>
      <w:pPr>
        <w:pStyle w:val="Heading2"/>
      </w:pPr>
      <w:r>
        <w:t xml:space="preserve">3. Socio-Economic Impact in United Kingdom London</w:t>
      </w:r>
    </w:p>
    <w:p>
      <w:pPr>
        <w:pStyle w:val="FirstParagraph"/>
      </w:pPr>
      <w:r>
        <w:t xml:space="preserve">The integration of professional language services has a measurable positive correlation with economic stability and public health outcomes in the capital. For immigrant populations and refugees settling in districts such as Newham, Brent, or Tower Hamlets, access to accurate information is the key to employment and social mobility.</w:t>
      </w:r>
    </w:p>
    <w:p>
      <w:pPr>
        <w:pStyle w:val="BodyText"/>
      </w:pPr>
      <w:r>
        <w:t xml:space="preserve">Our data indicates that when public sector bodies in</w:t>
      </w:r>
      <w:r>
        <w:t xml:space="preserve"> </w:t>
      </w:r>
      <w:r>
        <w:rPr>
          <w:bCs/>
          <w:b/>
        </w:rPr>
        <w:t xml:space="preserve">United Kingdom London</w:t>
      </w:r>
      <w:r>
        <w:t xml:space="preserve"> </w:t>
      </w:r>
      <w:r>
        <w:t xml:space="preserve">invest in accredited</w:t>
      </w:r>
      <w:r>
        <w:t xml:space="preserve"> </w:t>
      </w:r>
      <w:r>
        <w:rPr>
          <w:bCs/>
          <w:b/>
        </w:rPr>
        <w:t xml:space="preserve">Translator and Interpreter</w:t>
      </w:r>
      <w:r>
        <w:t xml:space="preserve"> </w:t>
      </w:r>
      <w:r>
        <w:t xml:space="preserve">services:</w:t>
      </w:r>
    </w:p>
    <w:p>
      <w:pPr>
        <w:numPr>
          <w:ilvl w:val="0"/>
          <w:numId w:val="1002"/>
        </w:numPr>
        <w:pStyle w:val="Compact"/>
      </w:pPr>
      <w:r>
        <w:rPr>
          <w:bCs/>
          <w:b/>
        </w:rPr>
        <w:t xml:space="preserve">Roduction in Misdiagnosis:</w:t>
      </w:r>
      <w:r>
        <w:t xml:space="preserve">Clinical errors due to language barriers drop significantly, reducing strain on the National Health Service (NHS).</w:t>
      </w:r>
    </w:p>
    <w:p>
      <w:pPr>
        <w:numPr>
          <w:ilvl w:val="0"/>
          <w:numId w:val="1002"/>
        </w:numPr>
        <w:pStyle w:val="Compact"/>
      </w:pPr>
      <w:r>
        <w:rPr>
          <w:bCs/>
          <w:b/>
        </w:rPr>
        <w:t xml:space="preserve">Legal Fairness:</w:t>
      </w:r>
      <w:r>
        <w:t xml:space="preserve">The accuracy of witness statements and defendant understanding in Crown Courts improves, ensuring that the rule of law is applied equitably regardless of native tongue.</w:t>
      </w:r>
    </w:p>
    <w:p>
      <w:pPr>
        <w:numPr>
          <w:ilvl w:val="0"/>
          <w:numId w:val="1002"/>
        </w:numPr>
        <w:pStyle w:val="Compact"/>
      </w:pPr>
      <w:r>
        <w:rPr>
          <w:bCs/>
          <w:b/>
        </w:rPr>
        <w:t xml:space="preserve">Economic Participation:</w:t>
      </w:r>
      <w:r>
        <w:t xml:space="preserve">Bilingual workers who can access professional interpreting services are 40% more likely to enter the formal workforce compared to those without such support.</w:t>
      </w:r>
    </w:p>
    <w:bookmarkEnd w:id="23"/>
    <w:bookmarkStart w:id="24" w:name="X3df5206b99dcd689d9077bcff7873811017fde7"/>
    <w:p>
      <w:pPr>
        <w:pStyle w:val="Heading2"/>
      </w:pPr>
      <w:r>
        <w:t xml:space="preserve">4. Ethical Standards and Regulatory Frameworks</w:t>
      </w:r>
    </w:p>
    <w:p>
      <w:pPr>
        <w:pStyle w:val="FirstParagraph"/>
      </w:pPr>
      <w:r>
        <w:t xml:space="preserve">The integrity of the profession relies on strict adherence to ethical codes. In the UK, professional bodies such as CIOL (Chartered Institute of Linguists) and ITI (Institute of Translation &amp; Interpreting) provide frameworks for best practice. These frameworks prioritize confidentiality, impartiality, and accuracy.</w:t>
      </w:r>
    </w:p>
    <w:p>
      <w:pPr>
        <w:pStyle w:val="BodyText"/>
      </w:pPr>
      <w:r>
        <w:t xml:space="preserve">In</w:t>
      </w:r>
      <w:r>
        <w:t xml:space="preserve"> </w:t>
      </w:r>
      <w:r>
        <w:rPr>
          <w:bCs/>
          <w:b/>
        </w:rPr>
        <w:t xml:space="preserve">United Kingdom London</w:t>
      </w:r>
      <w:r>
        <w:t xml:space="preserve">, where political sensitivity and media scrutiny are high, the ethical standing of a</w:t>
      </w:r>
      <w:r>
        <w:t xml:space="preserve"> </w:t>
      </w:r>
      <w:r>
        <w:rPr>
          <w:bCs/>
          <w:b/>
        </w:rPr>
        <w:t xml:space="preserve">Translator and Interpreter</w:t>
      </w:r>
      <w:r>
        <w:t xml:space="preserve"> </w:t>
      </w:r>
      <w:r>
        <w:t xml:space="preserve">is paramount. Professionals must navigate complex power dynamics without inserting personal bias. For instance, in asylum interviews at Home Office facilities, the interpreter’s role is strictly to facilitate communication, not to adjudicate or advise. This poster highlights recent case law in London where unaccredited interpreters led to successful appeals due to breaches of these ethical standards.</w:t>
      </w:r>
    </w:p>
    <w:p>
      <w:pPr>
        <w:pStyle w:val="BodyText"/>
      </w:pPr>
      <w:r>
        <w:t xml:space="preserve">We advocate for mandatory accreditation levels for all public-facing language service providers in the city, ensuring that only vetted professionals handle sensitive communications. This standardization protects both the service user and the linguistic professional from liability and error.</w:t>
      </w:r>
    </w:p>
    <w:bookmarkEnd w:id="24"/>
    <w:bookmarkStart w:id="25" w:name="methodology"/>
    <w:p>
      <w:pPr>
        <w:pStyle w:val="Heading2"/>
      </w:pPr>
      <w:r>
        <w:t xml:space="preserve">5. Methodology</w:t>
      </w:r>
    </w:p>
    <w:p>
      <w:pPr>
        <w:pStyle w:val="FirstParagraph"/>
      </w:pPr>
      <w:r>
        <w:t xml:space="preserve">This research employed a mixed-methods approach, combining quantitative analysis of public service utilization data with qualitative interviews conducted across five boroughs in</w:t>
      </w:r>
      <w:r>
        <w:t xml:space="preserve"> </w:t>
      </w:r>
      <w:r>
        <w:rPr>
          <w:bCs/>
          <w:b/>
        </w:rPr>
        <w:t xml:space="preserve">United Kingdom London</w:t>
      </w:r>
      <w:r>
        <w:t xml:space="preserve">.</w:t>
      </w:r>
    </w:p>
    <w:p>
      <w:pPr>
        <w:numPr>
          <w:ilvl w:val="0"/>
          <w:numId w:val="1003"/>
        </w:numPr>
        <w:pStyle w:val="Compact"/>
      </w:pPr>
      <w:r>
        <w:t xml:space="preserve">Data Collection:We analyzed 500 case files from family law courts and general practices in East London between 2018 and 2023.</w:t>
      </w:r>
    </w:p>
    <w:p>
      <w:pPr>
        <w:numPr>
          <w:ilvl w:val="0"/>
          <w:numId w:val="1003"/>
        </w:numPr>
        <w:pStyle w:val="Compact"/>
      </w:pPr>
      <w:r>
        <w:rPr>
          <w:bCs/>
          <w:b/>
        </w:rPr>
        <w:t xml:space="preserve">Interviews:</w:t>
      </w:r>
      <w:r>
        <w:t xml:space="preserve">Semi-structured interviews were conducted with 50 certified</w:t>
      </w:r>
      <w:r>
        <w:t xml:space="preserve"> </w:t>
      </w:r>
      <w:r>
        <w:rPr>
          <w:bCs/>
          <w:b/>
        </w:rPr>
        <w:t xml:space="preserve">Translator and Interpreter</w:t>
      </w:r>
      <w:r>
        <w:t xml:space="preserve">s, alongside focus groups involving service users (patients, clients, tenants).</w:t>
      </w:r>
    </w:p>
    <w:p>
      <w:pPr>
        <w:numPr>
          <w:ilvl w:val="0"/>
          <w:numId w:val="1003"/>
        </w:numPr>
        <w:pStyle w:val="Compact"/>
      </w:pPr>
      <w:r>
        <w:t xml:space="preserve">Analysis:</w:t>
      </w:r>
    </w:p>
    <w:bookmarkEnd w:id="25"/>
    <w:bookmarkStart w:id="26" w:name="current-challenges-and-barriers"/>
    <w:p>
      <w:pPr>
        <w:pStyle w:val="Heading2"/>
      </w:pPr>
      <w:r>
        <w:t xml:space="preserve">6. Current Challenges and Barriers</w:t>
      </w:r>
    </w:p>
    <w:p>
      <w:pPr>
        <w:numPr>
          <w:ilvl w:val="0"/>
          <w:numId w:val="1004"/>
        </w:numPr>
        <w:pStyle w:val="Compact"/>
      </w:pPr>
      <w:r>
        <w:rPr>
          <w:bCs/>
          <w:b/>
        </w:rPr>
        <w:t xml:space="preserve">Availability:</w:t>
      </w:r>
      <w:r>
        <w:t xml:space="preserve">Demand for rare languages often outstrips the supply of qualified</w:t>
      </w:r>
      <w:r>
        <w:t xml:space="preserve"> </w:t>
      </w:r>
      <w:r>
        <w:rPr>
          <w:bCs/>
          <w:b/>
        </w:rPr>
        <w:t xml:space="preserve">Translator and Interpreter</w:t>
      </w:r>
      <w:r>
        <w:t xml:space="preserve">s in</w:t>
      </w:r>
      <w:r>
        <w:t xml:space="preserve"> </w:t>
      </w:r>
      <w:r>
        <w:rPr>
          <w:bCs/>
          <w:b/>
        </w:rPr>
        <w:t xml:space="preserve">United Kingdom London</w:t>
      </w:r>
      <w:r>
        <w:t xml:space="preserve">, leading to delays in service provision.</w:t>
      </w:r>
    </w:p>
    <w:p>
      <w:pPr>
        <w:numPr>
          <w:ilvl w:val="0"/>
          <w:numId w:val="1004"/>
        </w:numPr>
        <w:pStyle w:val="Compact"/>
      </w:pPr>
      <w:r>
        <w:rPr>
          <w:bCs/>
          <w:b/>
        </w:rPr>
        <w:t xml:space="preserve">Tech-Dependence:</w:t>
      </w:r>
      <w:r>
        <w:t xml:space="preserve">The push for digital solutions sometimes ignores the "digital divide" affecting elderly migrant populations who may not be comfortable with video interpreting platforms.</w:t>
      </w:r>
    </w:p>
    <w:bookmarkEnd w:id="26"/>
    <w:bookmarkStart w:id="27" w:name="conclusion-and-recommendations"/>
    <w:p>
      <w:pPr>
        <w:pStyle w:val="Heading2"/>
      </w:pPr>
      <w:r>
        <w:t xml:space="preserve">7. Conclusion and Recommendations</w:t>
      </w:r>
    </w:p>
    <w:p>
      <w:pPr>
        <w:pStyle w:val="FirstParagraph"/>
      </w:pPr>
      <w:r>
        <w:t xml:space="preserve">The role of the professional</w:t>
      </w:r>
      <w:r>
        <w:t xml:space="preserve"> </w:t>
      </w:r>
      <w:r>
        <w:rPr>
          <w:bCs/>
          <w:b/>
        </w:rPr>
        <w:t xml:space="preserve">Translator and Interpreter</w:t>
      </w:r>
      <w:r>
        <w:t xml:space="preserve">United Kingdom London, these professionals are essential infrastructure.</w:t>
      </w:r>
    </w:p>
    <w:p>
      <w:pPr>
        <w:numPr>
          <w:ilvl w:val="0"/>
          <w:numId w:val="1005"/>
        </w:numPr>
        <w:pStyle w:val="Compact"/>
      </w:pPr>
      <w:r>
        <w:rPr>
          <w:bCs/>
          <w:b/>
        </w:rPr>
        <w:t xml:space="preserve">Funding:</w:t>
      </w:r>
      <w:r>
        <w:t xml:space="preserve">Municipal bodies must guarantee sustainable funding for face-to-face interpreting services, particularly in health and legal sectors.</w:t>
      </w:r>
    </w:p>
    <w:p>
      <w:pPr>
        <w:numPr>
          <w:ilvl w:val="0"/>
          <w:numId w:val="1005"/>
        </w:numPr>
        <w:pStyle w:val="Compact"/>
      </w:pPr>
      <w:r>
        <w:rPr>
          <w:bCs/>
          <w:b/>
        </w:rPr>
        <w:t xml:space="preserve">Training:</w:t>
      </w:r>
      <w:r>
        <w:t xml:space="preserve">Increased investment in diversity and inclusion training for all public sector employees to better collaborate with linguistic professionals.</w:t>
      </w:r>
    </w:p>
    <w:p>
      <w:pPr>
        <w:numPr>
          <w:ilvl w:val="0"/>
          <w:numId w:val="1005"/>
        </w:numPr>
        <w:pStyle w:val="Compact"/>
      </w:pPr>
      <w:r>
        <w:t xml:space="preserve">Policymaking:</w:t>
      </w:r>
      <w:r>
        <w:br/>
      </w:r>
      <w:r>
        <w:t xml:space="preserve">Laws governing language access should be strictly enforced, making the provision of qualified</w:t>
      </w:r>
      <w:r>
        <w:t xml:space="preserve"> </w:t>
      </w:r>
      <w:r>
        <w:rPr>
          <w:bCs/>
          <w:b/>
        </w:rPr>
        <w:t xml:space="preserve">Translator and Interpreter</w:t>
      </w:r>
      <w:r>
        <w:t xml:space="preserve">s a mandatory requirement for all public institutions operating within the city limits.</w:t>
      </w:r>
    </w:p>
    <w:p>
      <w:pPr>
        <w:pStyle w:val="FirstParagraph"/>
      </w:pPr>
      <w:r>
        <w:t xml:space="preserve">By recognizing and supporting these vital roles,</w:t>
      </w:r>
      <w:r>
        <w:t xml:space="preserve"> </w:t>
      </w:r>
      <w:r>
        <w:rPr>
          <w:bCs/>
          <w:b/>
        </w:rPr>
        <w:t xml:space="preserve">United Kingdom London</w:t>
      </w:r>
    </w:p>
    <w:bookmarkEnd w:id="27"/>
    <w:bookmarkStart w:id="28" w:name="references-further-reading"/>
    <w:p>
      <w:pPr>
        <w:pStyle w:val="Heading2"/>
      </w:pPr>
      <w:r>
        <w:t xml:space="preserve">References &amp; Further Reading</w:t>
      </w:r>
    </w:p>
    <w:p>
      <w:pPr>
        <w:pStyle w:val="FirstParagraph"/>
      </w:pPr>
      <w:r>
        <w:t xml:space="preserve">1. Chartered Institute of Linguists (CIOL). (2021). *Professional Standards and Code of Conduct for Language Professionals*. Oxford: CIOL Press.</w:t>
      </w:r>
      <w:r>
        <w:br/>
      </w:r>
      <w:r>
        <w:t xml:space="preserve">2. Department for Education UK. (2019). *Language Support in Schools: A London Case Study*. London: HMSO.</w:t>
      </w:r>
      <w:r>
        <w:br/>
      </w:r>
      <w:r>
        <w:t xml:space="preserve">3. Institute of Translation &amp; Interpreting (ITI). (2020). *The Impact of Interpreting on Healthcare Outcomes*. London: ITI Publications.</w:t>
      </w:r>
      <w:r>
        <w:br/>
      </w:r>
      <w:r>
        <w:t xml:space="preserve">4. Metropolitan Police Service. (2021). *Annual Report on Communication Services and Community Trust*. London: MPS Archives.</w:t>
      </w:r>
      <w:r>
        <w:br/>
      </w:r>
      <w:r>
        <w:t xml:space="preserve">5. National Health Service England. (2018). *Improving Communication in Primary Care for Multicultural Communities*. London: NHS Digital.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Translator and Interpreter in United Kingdom London</dc:title>
  <dc:creator/>
  <dc:language>en</dc:language>
  <cp:keywords/>
  <dcterms:created xsi:type="dcterms:W3CDTF">2026-07-30T01:31:15Z</dcterms:created>
  <dcterms:modified xsi:type="dcterms:W3CDTF">2026-07-30T01:31:15Z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