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Melbourne</w:t>
      </w:r>
    </w:p>
    <w:bookmarkStart w:id="20" w:name="Xe792fd69060d974fac8c69a1c3d5d64caa7d741"/>
    <w:p>
      <w:pPr>
        <w:pStyle w:val="Heading1"/>
      </w:pPr>
      <w:r>
        <w:t xml:space="preserve">Bridging Theory and Practice: The Evolving Role of the University Lecturer in Melbourne’s Academic Landscape</w:t>
      </w:r>
    </w:p>
    <w:p>
      <w:pPr>
        <w:pStyle w:val="FirstParagraph"/>
      </w:pPr>
      <w:r>
        <w:rPr>
          <w:bCs/>
          <w:b/>
        </w:rPr>
        <w:t xml:space="preserve">Presentation Type:</w:t>
      </w:r>
      <w:r>
        <w:t xml:space="preserve"> </w:t>
      </w:r>
      <w:r>
        <w:t xml:space="preserve">Academic Poster Summary</w:t>
      </w:r>
      <w:r>
        <w:br/>
      </w:r>
      <w:r>
        <w:rPr>
          <w:bCs/>
          <w:b/>
        </w:rPr>
        <w:t xml:space="preserve">Context:</w:t>
      </w:r>
      <w:r>
        <w:t xml:space="preserve">Tertiary Education Sector, Australia (Melbourne)</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The role of the University Lecturer in contemporary higher education is undergoing a profound transformation. This poster presentation explores the multifaceted responsibilities of academic staff within the specific context of Melbourne, Australia’s educational capital. As a hub for international education and innovation, Melbourne presents unique challenges and opportunities for university lecturers. This document outlines how modern lecturers must balance pedagogical excellence, rigorous research output, community engagement with industry partners, and digital literacy. By analyzing the current academic landscape in Victoria’s capital, we argue that the university lecturer is no longer merely a transmitter of knowledge but a critical facilitator of student success, a driver of local economic innovation through research commercialization, and an ambassador for Australia’s global education reputation.</w:t>
      </w:r>
    </w:p>
    <w:bookmarkEnd w:id="21"/>
    <w:bookmarkStart w:id="23" w:name="introduction"/>
    <w:bookmarkStart w:id="22" w:name="introduction-the-melbourne-context"/>
    <w:p>
      <w:pPr>
        <w:pStyle w:val="Heading2"/>
      </w:pPr>
      <w:r>
        <w:t xml:space="preserve">Introduction: The Melbourne Context</w:t>
      </w:r>
    </w:p>
    <w:p>
      <w:pPr>
        <w:pStyle w:val="FirstParagraph"/>
      </w:pPr>
      <w:r>
        <w:t xml:space="preserve">Melbourne has long been recognized as one of the world’s most liveable cities, but it is equally significant for its robust higher education sector. Home to prestigious institutions such as the University of Melbourne, Monash University, RMIT (Royal Melbourne Institute of Technology), Deakin University, and Swinburne University of Technology the city serves as a microcosm for trends in Australian tertiary education. For the university lecturer operating in this environment, the expectations extend far beyond traditional teaching duties.</w:t>
      </w:r>
    </w:p>
    <w:p>
      <w:pPr>
        <w:pStyle w:val="BodyText"/>
      </w:pPr>
      <w:r>
        <w:t xml:space="preserve">The Australian higher education sector is characterized by a high degree of internationalization. Melbourne attracts students from across Asia, Europe, and beyond. Consequently lecturers must be culturally responsive educators capable of supporting diverse learning needs while maintaining rigorous academic standards set by the Tertiary Education Quality and Standards Agency (TEQSA). Furthermore, Melbourne’s vibrant tech start-up scene and strong manufacturing history require university lecturers to bridge the gap between theoretical academia and practical industry application.</w:t>
      </w:r>
    </w:p>
    <w:bookmarkEnd w:id="22"/>
    <w:bookmarkEnd w:id="23"/>
    <w:bookmarkStart w:id="28" w:name="core-pillars"/>
    <w:bookmarkStart w:id="27" w:name="X5161788f765057f87653c94548f66dbc5b957b5"/>
    <w:p>
      <w:pPr>
        <w:pStyle w:val="Heading2"/>
      </w:pPr>
      <w:r>
        <w:t xml:space="preserve">Core Pillars of the Modern University Lecturer</w:t>
      </w:r>
    </w:p>
    <w:p>
      <w:pPr>
        <w:pStyle w:val="FirstParagraph"/>
      </w:pPr>
      <w:r>
        <w:t xml:space="preserve">The role of a university lecturer in Melbourne can be deconstructed into three primary pillars: Teaching and Learning, Research and Scholarship, and Service/Engagement. Each pillar is interdependent.</w:t>
      </w:r>
    </w:p>
    <w:bookmarkStart w:id="24" w:name="Xa90fb1459494b7aa4e3ee1f1802e1df575f72a0"/>
    <w:p>
      <w:pPr>
        <w:pStyle w:val="Heading3"/>
      </w:pPr>
      <w:r>
        <w:t xml:space="preserve">1. Pedagogical Excellence and Digital Integration</w:t>
      </w:r>
    </w:p>
    <w:p>
      <w:pPr>
        <w:pStyle w:val="FirstParagraph"/>
      </w:pPr>
      <w:r>
        <w:t xml:space="preserve">In post-pandemic Australia there has been a permanent shift towards blended learning models. University lecturers are expected to master Learning Management Systems (such as Canvas or Moodle) and integrate digital tools that enhance student engagement. In Melbourne, where students often juggle work, study, and family commitments flexibility is key. Lecturers must design curriculum that is inclusive of neurodiverse students and those from non-English speaking backgrounds—a common demographic in Melbourne’s universities.</w:t>
      </w:r>
    </w:p>
    <w:p>
      <w:pPr>
        <w:numPr>
          <w:ilvl w:val="0"/>
          <w:numId w:val="1001"/>
        </w:numPr>
        <w:pStyle w:val="Compact"/>
      </w:pPr>
      <w:r>
        <w:rPr>
          <w:bCs/>
          <w:b/>
        </w:rPr>
        <w:t xml:space="preserve">Culturally Responsive Teaching:</w:t>
      </w:r>
      <w:r>
        <w:t xml:space="preserve"> </w:t>
      </w:r>
      <w:r>
        <w:t xml:space="preserve">Integrating Indigenous Australian perspectives (Reconciliation Action Plans) into the curriculum is now a standard expectation for many Melbourne-based institutions.</w:t>
      </w:r>
    </w:p>
    <w:p>
      <w:pPr>
        <w:numPr>
          <w:ilvl w:val="0"/>
          <w:numId w:val="1001"/>
        </w:numPr>
        <w:pStyle w:val="Compact"/>
      </w:pPr>
      <w:r>
        <w:rPr>
          <w:bCs/>
          <w:b/>
        </w:rPr>
        <w:t xml:space="preserve">Assessment Innovation:</w:t>
      </w:r>
    </w:p>
    <w:bookmarkEnd w:id="24"/>
    <w:bookmarkStart w:id="25" w:name="research-impact-and-commercialization"/>
    <w:p>
      <w:pPr>
        <w:pStyle w:val="Heading3"/>
      </w:pPr>
      <w:r>
        <w:t xml:space="preserve">2. Research Impact and Commercialization</w:t>
      </w:r>
    </w:p>
    <w:p>
      <w:pPr>
        <w:pStyle w:val="FirstParagraph"/>
      </w:pPr>
      <w:r>
        <w:t xml:space="preserve">Australia places a high premium on research excellence. University lecturers are required to publish in high-impact journals and secure competitive grants. However, in Melbourne’s context, there is an increasing emphasis on "pathways to impact." This means research should not just sit in academic journals but should influence policy or solve local problems.</w:t>
      </w:r>
    </w:p>
    <w:p>
      <w:pPr>
        <w:pStyle w:val="BodyText"/>
      </w:pPr>
      <w:r>
        <w:t xml:space="preserve">Melbourne is home to numerous collaborative hubs involving government agencies like CSIRO and private sector partners. University lecturers act as the primary interface for these collaborations. For instance, a lecturer in environmental science might work with Melbourne Water to improve water sustainability practices, while a business lecturer might advise local SMEs on digital transformation strategies.</w:t>
      </w:r>
    </w:p>
    <w:bookmarkEnd w:id="25"/>
    <w:bookmarkStart w:id="26" w:name="X2b91bed7d8a4b2ceabe0cf0cfbaae4e39538ec8"/>
    <w:p>
      <w:pPr>
        <w:pStyle w:val="Heading3"/>
      </w:pPr>
      <w:r>
        <w:t xml:space="preserve">3. Industry Engagement and Work-Integrated Learning (WIL)</w:t>
      </w:r>
    </w:p>
    <w:p>
      <w:pPr>
        <w:pStyle w:val="FirstParagraph"/>
      </w:pPr>
      <w:r>
        <w:t xml:space="preserve">Melbourne’s economy is heavily service-oriented, with strong sectors in finance, healthcare, and technology. University lecturers play a crucial role in facilitating Work-Integrated Learning (WIL). This involves establishing partnerships with local employers to create internship opportunities for students. A lecturer’s professional network directly impacts their students’ employability.</w:t>
      </w:r>
    </w:p>
    <w:p>
      <w:pPr>
        <w:pStyle w:val="BodyText"/>
      </w:pPr>
      <w:r>
        <w:t xml:space="preserve">Role Aspect</w:t>
      </w:r>
    </w:p>
    <w:bookmarkEnd w:id="26"/>
    <w:bookmarkEnd w:id="27"/>
    <w:bookmarkEnd w:id="28"/>
    <w:p>
      <w:pPr>
        <w:pStyle w:val="BodyText"/>
      </w:pPr>
      <w:r>
        <w:t xml:space="preserve">Traditional Expectation</w:t>
      </w:r>
      <w:r>
        <w:br/>
      </w:r>
      <w:r>
        <w:t xml:space="preserve">  </w:t>
      </w:r>
      <w:r>
        <w:rPr>
          <w:bCs/>
          <w:b/>
        </w:rPr>
        <w:t xml:space="preserve">Melbourne/Modern</w:t>
      </w:r>
      <w:r>
        <w:br/>
      </w:r>
      <w:r>
        <w:rPr>
          <w:bCs/>
          <w:b/>
        </w:rPr>
        <w:t xml:space="preserve">Expectation</w:t>
      </w:r>
    </w:p>
    <w:p>
      <w:pPr>
        <w:pStyle w:val="BodyText"/>
      </w:pPr>
      <w:r>
        <w:t xml:space="preserve">Pedagogy</w:t>
      </w:r>
    </w:p>
    <w:p>
      <w:pPr>
        <w:pStyle w:val="BodyText"/>
      </w:pPr>
      <w:r>
        <w:t xml:space="preserve">Lecturing from notes</w:t>
      </w:r>
      <w:r>
        <w:br/>
      </w:r>
    </w:p>
    <w:p>
      <w:pPr>
        <w:pStyle w:val="BodyText"/>
      </w:pPr>
      <w:r>
        <w:t xml:space="preserve">&lt; td &gt;Blended learning, active learning, online facilitation&lt; tr &gt;&lt; td &gt;Research &lt; td &gt;Purely theoretical publication</w:t>
      </w:r>
      <w:r>
        <w:br/>
      </w:r>
      <w:r>
        <w:t xml:space="preserve">&lt; /t d &gt;&lt; t d &gt;Applied research industry partnerships</w:t>
      </w:r>
    </w:p>
    <w:p>
      <w:pPr>
        <w:pStyle w:val="BodyText"/>
      </w:pPr>
      <w:r>
        <w:t xml:space="preserve">Student Support</w:t>
      </w:r>
    </w:p>
    <w:p>
      <w:pPr>
        <w:pStyle w:val="BodyText"/>
      </w:pPr>
      <w:r>
        <w:t xml:space="preserve">Office hours only</w:t>
      </w:r>
      <w:r>
        <w:br/>
      </w:r>
    </w:p>
    <w:p>
      <w:pPr>
        <w:pStyle w:val="BodyText"/>
      </w:pPr>
      <w:r>
        <w:t xml:space="preserve">Mentorship, mental health awareness, career guidance</w:t>
      </w:r>
    </w:p>
    <w:bookmarkStart w:id="30" w:name="challenges"/>
    <w:bookmarkStart w:id="29" w:name="X344f9a5cccf2ce7f0b87d24f8c9a02530ff12cc"/>
    <w:p>
      <w:pPr>
        <w:pStyle w:val="Heading2"/>
      </w:pPr>
      <w:r>
        <w:t xml:space="preserve">Challenges Facing University Lecturers in Melbourne</w:t>
      </w:r>
    </w:p>
    <w:p>
      <w:pPr>
        <w:pStyle w:val="FirstParagraph"/>
      </w:pPr>
      <w:r>
        <w:t xml:space="preserve">The role is not without its significant challenges. First, there is the pressure of precarious employment. While many senior academics hold permanent positions, a large proportion of teaching staff are on casual or fixed-term contracts. This instability can impact job satisfaction and continuity in student mentorship.</w:t>
      </w:r>
    </w:p>
    <w:p>
      <w:pPr>
        <w:pStyle w:val="BodyText"/>
      </w:pPr>
      <w:r>
        <w:t xml:space="preserve">Secondly the "publish or perish" culture continues to intensify. University lecturers must balance heavy teaching loads with the demand for high-quality research output. In Melbourne’s competitive university landscape, institutional rankings drive performance metrics, placing additional stress on academic staff to deliver measurable outcomes.</w:t>
      </w:r>
    </w:p>
    <w:p>
      <w:pPr>
        <w:pStyle w:val="BodyText"/>
      </w:pPr>
      <w:r>
        <w:t xml:space="preserve">Furthermore, the cost-of-living crisis in Melbourne affects both the lecturer and their students. Academic staff are increasingly expected to provide pastoral care and financial advice support that traditionally falls outside their job description but is necessary for student retention in a high-cost city.</w:t>
      </w:r>
    </w:p>
    <w:bookmarkEnd w:id="29"/>
    <w:bookmarkEnd w:id="30"/>
    <w:bookmarkStart w:id="32" w:name="future-directions"/>
    <w:bookmarkStart w:id="31" w:name="X49eff9110992f56506d4ed54df7a4a521b696ca"/>
    <w:p>
      <w:pPr>
        <w:pStyle w:val="Heading2"/>
      </w:pPr>
      <w:r>
        <w:t xml:space="preserve">Future Directions and Strategic Implications</w:t>
      </w:r>
    </w:p>
    <w:p>
      <w:pPr>
        <w:pStyle w:val="FirstParagraph"/>
      </w:pPr>
      <w:r>
        <w:t xml:space="preserve">To sustain the quality of higher education in Melbourne, several strategic shifts are required. Institutions must invest in professional development for lecturers focusing on digital pedagogy and mental health support skills. There is also a need for more secure funding models that recognize the value of teaching and community engagement as highly as research.</w:t>
      </w:r>
    </w:p>
    <w:p>
      <w:pPr>
        <w:pStyle w:val="BodyText"/>
      </w:pPr>
      <w:r>
        <w:t xml:space="preserve">Looking ahead, the university lecturer in Melbourne will likely become even more interdisciplinary. Complex global challenges such as climate change, AI ethics, and public health crises require collaborative solutions. Lecturers must break down silos between faculties to offer holistic educational experiences.</w:t>
      </w:r>
    </w:p>
    <w:p>
      <w:pPr>
        <w:pStyle w:val="BodyText"/>
      </w:pPr>
      <w:r>
        <w:t xml:space="preserve">Moreover, as Australia seeks to deepen its economic ties with the Indo-Pacific region, Melbourne’s university lecturers will serve as cultural and intellectual bridges. Their ability to foster global competencies in students will be vital for Australia’s soft power and economic resilience.</w:t>
      </w:r>
    </w:p>
    <w:bookmarkEnd w:id="31"/>
    <w:bookmarkEnd w:id="32"/>
    <w:bookmarkStart w:id="33" w:name="conclusion"/>
    <w:p>
      <w:pPr>
        <w:pStyle w:val="Heading2"/>
      </w:pPr>
      <w:r>
        <w:t xml:space="preserve">Conclusion</w:t>
      </w:r>
    </w:p>
    <w:p>
      <w:pPr>
        <w:pStyle w:val="FirstParagraph"/>
      </w:pPr>
      <w:r>
        <w:t xml:space="preserve">In conclusion, the position of the University Lecturer in Melbourne is dynamic, complex, and critically important. It is a role that demands high levels of adaptability, intellectual curiosity, and social responsibility. By effectively balancing teaching excellence with impactful research and strong industry links university lecturers contribute significantly to Melbourne’s status as a global education leader.</w:t>
      </w:r>
    </w:p>
    <w:p>
      <w:pPr>
        <w:pStyle w:val="BodyText"/>
      </w:pPr>
      <w:r>
        <w:t xml:space="preserve">This poster presentation underscores that supporting these professionals through better working conditions, resource allocation is not just an academic concern but a civic imperative for the city of Melbourne and Australia at large. The future of knowledge creation and dissemination in this region rests heavily on the shoulders of its university lecturers.</w:t>
      </w:r>
    </w:p>
    <w:bookmarkEnd w:id="33"/>
    <w:p>
      <w:pPr>
        <w:pStyle w:val="BodyText"/>
      </w:pPr>
      <w:r>
        <w:rPr>
          <w:bCs/>
          <w:b/>
        </w:rPr>
        <w:t xml:space="preserve">References &amp; Further Reading:</w:t>
      </w:r>
    </w:p>
    <w:p>
      <w:pPr>
        <w:numPr>
          <w:ilvl w:val="0"/>
          <w:numId w:val="1002"/>
        </w:numPr>
        <w:pStyle w:val="Compact"/>
      </w:pPr>
      <w:r>
        <w:t xml:space="preserve">Tertiary Education Quality and Standards Agency (TEQSA). (2023). National Standards for Higher Education.</w:t>
      </w:r>
    </w:p>
    <w:p>
      <w:pPr>
        <w:numPr>
          <w:ilvl w:val="0"/>
          <w:numId w:val="1002"/>
        </w:numPr>
        <w:pStyle w:val="Compact"/>
      </w:pPr>
      <w:r>
        <w:t xml:space="preserve">Melbourne Institute of Applied Economic and Social Research. (2023). The State of Melbourne’s Economy.</w:t>
      </w:r>
    </w:p>
    <w:p>
      <w:pPr>
        <w:numPr>
          <w:ilvl w:val="0"/>
          <w:numId w:val="1002"/>
        </w:numPr>
        <w:pStyle w:val="Compact"/>
      </w:pPr>
      <w:r>
        <w:t xml:space="preserve">Australian Government Department of Education. (2024). Strategic Review of the Higher Education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Role in Melbourne</dc:title>
  <dc:creator/>
  <dc:language>en</dc:language>
  <cp:keywords/>
  <dcterms:created xsi:type="dcterms:W3CDTF">2026-07-29T12:32:21Z</dcterms:created>
  <dcterms:modified xsi:type="dcterms:W3CDTF">2026-07-29T12:32:21Z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