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Indonesia</w:t>
      </w:r>
      <w:r>
        <w:t xml:space="preserve"> </w:t>
      </w:r>
      <w:r>
        <w:t xml:space="preserve">Jakarta</w:t>
      </w:r>
    </w:p>
    <w:bookmarkStart w:id="29" w:name="X274bf6de05da228f71eba3f031182971c5e3e3c"/>
    <w:p>
      <w:pPr>
        <w:pStyle w:val="Heading1"/>
      </w:pPr>
      <w:r>
        <w:t xml:space="preserve">Bridging Tradition and Innovation: The Role of the University Lecturer in Indonesia Jakarta</w:t>
      </w:r>
    </w:p>
    <w:p>
      <w:pPr>
        <w:pStyle w:val="FirstParagraph"/>
      </w:pPr>
      <w:r>
        <w:rPr>
          <w:bCs/>
          <w:b/>
        </w:rPr>
        <w:t xml:space="preserve">Presentation Title:</w:t>
      </w:r>
      <w:r>
        <w:t xml:space="preserve"> </w:t>
      </w:r>
      <w:r>
        <w:t xml:space="preserve">Academic Excellence in a Globalizing Metropolis</w:t>
      </w:r>
      <w:r>
        <w:br/>
      </w:r>
      <w:r>
        <w:rPr>
          <w:bCs/>
          <w:b/>
        </w:rPr>
        <w:t xml:space="preserve">Focused Region:</w:t>
      </w:r>
      <w:r>
        <w:t xml:space="preserve"> </w:t>
      </w:r>
      <w:r>
        <w:t xml:space="preserve">Indonesia, specifically Jakarta</w:t>
      </w:r>
      <w:r>
        <w:br/>
      </w:r>
      <w:r>
        <w:rPr>
          <w:bCs/>
          <w:b/>
        </w:rPr>
        <w:t xml:space="preserve">Type:</w:t>
      </w:r>
      <w:r>
        <w:t xml:space="preserve"> </w:t>
      </w:r>
      <w:r>
        <w:t xml:space="preserve">Poster Presentation for Academic Conference</w:t>
      </w:r>
    </w:p>
    <w:bookmarkStart w:id="20" w:name="abstract"/>
    <w:p>
      <w:pPr>
        <w:pStyle w:val="Heading2"/>
      </w:pPr>
      <w:r>
        <w:t xml:space="preserve">Abstract</w:t>
      </w:r>
    </w:p>
    <w:p>
      <w:pPr>
        <w:pStyle w:val="FirstParagraph"/>
      </w:pPr>
      <w:r>
        <w:t xml:space="preserve">This poster presentation explores the multifaceted role of the modern University Lecturer within the dynamic educational landscape of Indonesia Jakarta. As the capital city serves as a hub for economic growth, cultural exchange, and rapid technological advancement in Southeast Asia, higher education institutions in this region face unique challenges and opportunities. This study analyzes how university lecturers are adapting to global academic standards while maintaining local relevance. It examines the shift from traditional didactic teaching methods to interactive, research-oriented pedagogy. The presentation highlights the critical importance of balancing international accreditation requirements with the socio-cultural contexts of Indonesian students, ultimately arguing that the modern lecturer must act as both a scholar and a societal bridge-builder in Jakarta's competitive academic environment.</w:t>
      </w:r>
    </w:p>
    <w:bookmarkEnd w:id="20"/>
    <w:bookmarkStart w:id="21" w:name="X9e50fb1b3ab392e6d70a539f802effff9c48ed7"/>
    <w:p>
      <w:pPr>
        <w:pStyle w:val="Heading2"/>
      </w:pPr>
      <w:r>
        <w:t xml:space="preserve">1. Introduction: The Context of Indonesia Jakarta</w:t>
      </w:r>
    </w:p>
    <w:p>
      <w:pPr>
        <w:pStyle w:val="FirstParagraph"/>
      </w:pPr>
      <w:r>
        <w:t xml:space="preserve">Jakarta, the bustling capital of Indonesia, is not merely a political and economic center but also a burgeoning epicenter for higher education in Southeast Asia. With hundreds of universities ranging from state-owned institutions like Universitas Indonesia to prestigious private entities such as Universitas Atma Jaya and Binus University, the city hosts a diverse academic ecosystem. However, this density creates intense competition for faculty resources and student enrollment.</w:t>
      </w:r>
    </w:p>
    <w:p>
      <w:pPr>
        <w:pStyle w:val="BodyText"/>
      </w:pPr>
      <w:r>
        <w:t xml:space="preserve">In this context, the role of the</w:t>
      </w:r>
      <w:r>
        <w:t xml:space="preserve"> </w:t>
      </w:r>
      <w:r>
        <w:rPr>
          <w:bCs/>
          <w:b/>
        </w:rPr>
        <w:t xml:space="preserve">University Lecturer</w:t>
      </w:r>
      <w:r>
        <w:t xml:space="preserve"> </w:t>
      </w:r>
      <w:r>
        <w:t xml:space="preserve">has transcended traditional boundaries. They are no longer just transmitters of knowledge but are expected to be researchers, community servants, and industry collaborators. The specific dynamics of</w:t>
      </w:r>
      <w:r>
        <w:t xml:space="preserve"> </w:t>
      </w:r>
      <w:r>
        <w:rPr>
          <w:bCs/>
          <w:b/>
        </w:rPr>
        <w:t xml:space="preserve">Indonesia Jakarta</w:t>
      </w:r>
      <w:r>
        <w:t xml:space="preserve">, with its rapid urbanization and digital transformation, necessitate a re-evaluation of academic responsibilities. This poster outlines the key pillars supporting this evolving role.</w:t>
      </w:r>
    </w:p>
    <w:bookmarkEnd w:id="21"/>
    <w:bookmarkStart w:id="25" w:name="key-pillars-of-the-modern-academic-role"/>
    <w:p>
      <w:pPr>
        <w:pStyle w:val="Heading2"/>
      </w:pPr>
      <w:r>
        <w:t xml:space="preserve">2. Key Pillars of the Modern Academic Role</w:t>
      </w:r>
    </w:p>
    <w:bookmarkStart w:id="22" w:name="X7ba390f69237314a30f41ac9ab846bb71ce8706"/>
    <w:p>
      <w:pPr>
        <w:pStyle w:val="Heading3"/>
      </w:pPr>
      <w:r>
        <w:t xml:space="preserve">A. Pedagogical Transformation and Digital Integration</w:t>
      </w:r>
    </w:p>
    <w:p>
      <w:pPr>
        <w:pStyle w:val="FirstParagraph"/>
      </w:pPr>
      <w:r>
        <w:t xml:space="preserve">The post-pandemic era has permanently altered teaching methodologies in Jakarta's universities. University lecturers are now required to master blended learning platforms, integrating asynchronous online modules with synchronous face-to-face interactions in physical campuses across cities like South Jakarta or Depok.</w:t>
      </w:r>
    </w:p>
    <w:p>
      <w:pPr>
        <w:numPr>
          <w:ilvl w:val="0"/>
          <w:numId w:val="1001"/>
        </w:numPr>
        <w:pStyle w:val="Compact"/>
      </w:pPr>
      <w:r>
        <w:rPr>
          <w:bCs/>
          <w:b/>
        </w:rPr>
        <w:t xml:space="preserve">Digital Literacy:</w:t>
      </w:r>
      <w:r>
        <w:t xml:space="preserve"> </w:t>
      </w:r>
      <w:r>
        <w:t xml:space="preserve">Lecturers must utilize Learning Management Systems (LMS) such as Moodle or proprietary university platforms to deliver content effectively.</w:t>
      </w:r>
    </w:p>
    <w:p>
      <w:pPr>
        <w:numPr>
          <w:ilvl w:val="0"/>
          <w:numId w:val="1001"/>
        </w:numPr>
        <w:pStyle w:val="Compact"/>
      </w:pPr>
      <w:r>
        <w:rPr>
          <w:bCs/>
          <w:b/>
        </w:rPr>
        <w:t xml:space="preserve">Inclusive Teaching:</w:t>
      </w:r>
      <w:r>
        <w:t xml:space="preserve"> </w:t>
      </w:r>
      <w:r>
        <w:t xml:space="preserve">Given the diverse socioeconomic backgrounds of students in Jakarta, lecturers are trained to create inclusive classrooms that accommodate varying levels of digital access and prior educational preparation.</w:t>
      </w:r>
    </w:p>
    <w:bookmarkEnd w:id="22"/>
    <w:bookmarkStart w:id="23" w:name="b.-research-output-and-global-visibility"/>
    <w:p>
      <w:pPr>
        <w:pStyle w:val="Heading3"/>
      </w:pPr>
      <w:r>
        <w:t xml:space="preserve">B. Research Output and Global Visibility</w:t>
      </w:r>
    </w:p>
    <w:p>
      <w:pPr>
        <w:pStyle w:val="FirstParagraph"/>
      </w:pPr>
      <w:r>
        <w:t xml:space="preserve">To compete internationally, universities in Indonesia Jakarta are aggressively pursuing accreditation from national bodies like BAN-PT (National Accreditation Board for Higher Education) and international standards such as THE or QS Rankings. This drives the demand for high-quality publications in Scopus-indexed journals.</w:t>
      </w:r>
    </w:p>
    <w:p>
      <w:pPr>
        <w:numPr>
          <w:ilvl w:val="0"/>
          <w:numId w:val="1002"/>
        </w:numPr>
        <w:pStyle w:val="Compact"/>
      </w:pPr>
      <w:r>
        <w:rPr>
          <w:bCs/>
          <w:b/>
        </w:rPr>
        <w:t xml:space="preserve">Cross-Institutional Collaboration:</w:t>
      </w:r>
      <w:r>
        <w:t xml:space="preserve"> </w:t>
      </w:r>
      <w:r>
        <w:t xml:space="preserve">Lecturers are increasingly forming research consortia within Jakarta’s academic network to tackle local issues like urban flooding, traffic congestion, and waste management with global visibility.</w:t>
      </w:r>
    </w:p>
    <w:p>
      <w:pPr>
        <w:numPr>
          <w:ilvl w:val="0"/>
          <w:numId w:val="1002"/>
        </w:numPr>
        <w:pStyle w:val="Compact"/>
      </w:pPr>
      <w:r>
        <w:rPr>
          <w:bCs/>
          <w:b/>
        </w:rPr>
        <w:t xml:space="preserve">Funding Acquisition:</w:t>
      </w:r>
      <w:r>
        <w:t xml:space="preserve"> </w:t>
      </w:r>
      <w:r>
        <w:t xml:space="preserve">A significant portion of a lecturer's workload now involves securing grants from the Indonesian Ministry of Education and Culture (Kemdikbudristek) or international foundations.</w:t>
      </w:r>
    </w:p>
    <w:bookmarkEnd w:id="23"/>
    <w:bookmarkStart w:id="24" w:name="X6eff268651d8eb9460694fd33d81b105a92b8cd"/>
    <w:p>
      <w:pPr>
        <w:pStyle w:val="Heading3"/>
      </w:pPr>
      <w:r>
        <w:t xml:space="preserve">C. Community Engagement (Pengabdian kepada Masyarakat)</w:t>
      </w:r>
    </w:p>
    <w:p>
      <w:pPr>
        <w:pStyle w:val="FirstParagraph"/>
      </w:pPr>
      <w:r>
        <w:t xml:space="preserve">In the Indonesian higher education framework, "Tri Dharma Perguruan Tinggi" (Three Pillars of Higher Education) mandates community service alongside teaching and research. In Jakarta, this takes on a unique urban character.</w:t>
      </w:r>
    </w:p>
    <w:p>
      <w:pPr>
        <w:numPr>
          <w:ilvl w:val="0"/>
          <w:numId w:val="1003"/>
        </w:numPr>
        <w:pStyle w:val="Compact"/>
      </w:pPr>
      <w:r>
        <w:rPr>
          <w:bCs/>
          <w:b/>
        </w:rPr>
        <w:t xml:space="preserve">Social Impact:</w:t>
      </w:r>
      <w:r>
        <w:t xml:space="preserve"> </w:t>
      </w:r>
      <w:r>
        <w:t xml:space="preserve">Lecturers lead projects that address inequality in the capital, such as providing legal aid clinics in informal settlements or offering financial literacy programs for small businesses in Central Jakarta.</w:t>
      </w:r>
    </w:p>
    <w:p>
      <w:pPr>
        <w:numPr>
          <w:ilvl w:val="0"/>
          <w:numId w:val="1003"/>
        </w:numPr>
        <w:pStyle w:val="Compact"/>
      </w:pPr>
      <w:r>
        <w:t xml:space="preserve">Cultural Preservation:. Despite Jakarta's modernization, there is a growing movement among lecturers to document and preserve Betawi culture and local heritage through academic research and student-led community workshops.</w:t>
      </w:r>
    </w:p>
    <w:bookmarkEnd w:id="24"/>
    <w:bookmarkEnd w:id="25"/>
    <w:bookmarkStart w:id="26" w:name="X009c1ab799a7861a09174adb5ce4cece44b733d"/>
    <w:p>
      <w:pPr>
        <w:pStyle w:val="Heading2"/>
      </w:pPr>
      <w:r>
        <w:t xml:space="preserve">3. Critical Challenges in the Jakarta Landscape</w:t>
      </w:r>
    </w:p>
    <w:p>
      <w:pPr>
        <w:pStyle w:val="FirstParagraph"/>
      </w:pPr>
      <w:r>
        <w:t xml:space="preserve">The pursuit of excellence is hindered by several structural challenges specific to the region:</w:t>
      </w:r>
    </w:p>
    <w:p>
      <w:pPr>
        <w:numPr>
          <w:ilvl w:val="0"/>
          <w:numId w:val="1004"/>
        </w:numPr>
        <w:pStyle w:val="Compact"/>
      </w:pPr>
      <w:r>
        <w:rPr>
          <w:bCs/>
          <w:b/>
        </w:rPr>
        <w:t xml:space="preserve">Bureaucratic Constraints:</w:t>
      </w:r>
      <w:r>
        <w:t xml:space="preserve"> </w:t>
      </w:r>
      <w:r>
        <w:t xml:space="preserve">State university lecturers often navigate complex administrative hierarchies that can slow down research procurement and curriculum updates.</w:t>
      </w:r>
    </w:p>
    <w:p>
      <w:pPr>
        <w:numPr>
          <w:ilvl w:val="0"/>
          <w:numId w:val="1004"/>
        </w:numPr>
        <w:pStyle w:val="Compact"/>
      </w:pPr>
      <w:r>
        <w:rPr>
          <w:bCs/>
          <w:b/>
        </w:rPr>
        <w:t xml:space="preserve">Cognitive Load:</w:t>
      </w:r>
      <w:r>
        <w:t xml:space="preserve"> </w:t>
      </w:r>
      <w:r>
        <w:t xml:space="preserve">The expectation to excel in teaching, publish frequently, and engage in community service simultaneously creates significant burnout risks among faculty members.</w:t>
      </w:r>
    </w:p>
    <w:p>
      <w:pPr>
        <w:numPr>
          <w:ilvl w:val="0"/>
          <w:numId w:val="1004"/>
        </w:numPr>
        <w:pStyle w:val="Compact"/>
      </w:pPr>
      <w:r>
        <w:rPr>
          <w:bCs/>
          <w:b/>
        </w:rPr>
        <w:t xml:space="preserve">Funding Disparities:</w:t>
      </w:r>
      <w:r>
        <w:t xml:space="preserve"> </w:t>
      </w:r>
      <w:r>
        <w:t xml:space="preserve">While private universities in Jakarta are well-funded, public institutions often struggle with budget limitations, affecting laboratory infrastructure and library resources.</w:t>
      </w:r>
    </w:p>
    <w:bookmarkEnd w:id="26"/>
    <w:bookmarkStart w:id="27" w:name="conclusion-and-future-directions"/>
    <w:p>
      <w:pPr>
        <w:pStyle w:val="Heading2"/>
      </w:pPr>
      <w:r>
        <w:t xml:space="preserve">4. Conclusion and Future Directions</w:t>
      </w:r>
    </w:p>
    <w:p>
      <w:pPr>
        <w:pStyle w:val="FirstParagraph"/>
      </w:pPr>
      <w:r>
        <w:t xml:space="preserve">The role of the University Lecturer in Indonesia Jakarta is undergoing a profound metamorphosis. They are evolving from isolated academics into connected, socially responsible scholars who leverage technology to enhance learning and research impact.</w:t>
      </w:r>
    </w:p>
    <w:p>
      <w:pPr>
        <w:pStyle w:val="BodyText"/>
      </w:pPr>
      <w:r>
        <w:t xml:space="preserve">To sustain this progress, institutions must provide robust support systems, including reduced teaching loads for researchers and continuous professional development workshops focused on digital pedagogy. Furthermore, fostering inter-university networks within Jakarta can help pool resources and share best practices.</w:t>
      </w:r>
    </w:p>
    <w:p>
      <w:pPr>
        <w:pStyle w:val="BodyText"/>
      </w:pPr>
      <w:r>
        <w:rPr>
          <w:bCs/>
          <w:b/>
        </w:rPr>
        <w:t xml:space="preserve">Final Thought:</w:t>
      </w:r>
      <w:r>
        <w:t xml:space="preserve"> </w:t>
      </w:r>
      <w:r>
        <w:t xml:space="preserve">The modern lecturer in Jakarta is not just an educator but a catalyst for social change, driving the region toward a more knowledgeable, equitable, and innovative future.</w:t>
      </w:r>
    </w:p>
    <w:bookmarkEnd w:id="27"/>
    <w:bookmarkStart w:id="28" w:name="references-acknowledgements"/>
    <w:p>
      <w:pPr>
        <w:pStyle w:val="Heading2"/>
      </w:pPr>
      <w:r>
        <w:t xml:space="preserve">References &amp; Acknowledgements</w:t>
      </w:r>
    </w:p>
    <w:p>
      <w:pPr>
        <w:pStyle w:val="FirstParagraph"/>
      </w:pPr>
      <w:r>
        <w:t xml:space="preserve">This poster presentation acknowledges the contributions of faculty members from major Jakarta institutions and recent policy documents issued by the Ministry of Education, Culture, Research, and Technology of Indonesia.</w:t>
      </w:r>
    </w:p>
    <w:p>
      <w:pPr>
        <w:numPr>
          <w:ilvl w:val="0"/>
          <w:numId w:val="1005"/>
        </w:numPr>
        <w:pStyle w:val="Compact"/>
      </w:pPr>
      <w:r>
        <w:rPr>
          <w:bCs/>
          <w:b/>
        </w:rPr>
        <w:t xml:space="preserve">Reference 1:</w:t>
      </w:r>
      <w:r>
        <w:t xml:space="preserve"> </w:t>
      </w:r>
      <w:r>
        <w:t xml:space="preserve">Ministry of Education and Culture. (2023). *Report on Higher Education Accreditation in Jakarta Region*.</w:t>
      </w:r>
    </w:p>
    <w:p>
      <w:pPr>
        <w:numPr>
          <w:ilvl w:val="0"/>
          <w:numId w:val="1005"/>
        </w:numPr>
        <w:pStyle w:val="Compact"/>
      </w:pPr>
      <w:r>
        <w:rPr>
          <w:bCs/>
          <w:b/>
        </w:rPr>
        <w:t xml:space="preserve">Reference 2:</w:t>
      </w:r>
      <w:r>
        <w:t xml:space="preserve"> </w:t>
      </w:r>
      <w:r>
        <w:t xml:space="preserve">World Bank. (2023). *Indonesia Economic Prospects: Strengthening the Talent Pipeline*</w:t>
      </w:r>
    </w:p>
    <w:p>
      <w:pPr>
        <w:numPr>
          <w:ilvl w:val="0"/>
          <w:numId w:val="1005"/>
        </w:numPr>
        <w:pStyle w:val="Compact"/>
      </w:pPr>
      <w:r>
        <w:rPr>
          <w:bCs/>
          <w:b/>
        </w:rPr>
        <w:t xml:space="preserve">Reference 3:</w:t>
      </w:r>
      <w:r>
        <w:t xml:space="preserve"> </w:t>
      </w:r>
      <w:r>
        <w:t xml:space="preserve">BAN-PT. (2024). *Guidelines for University Institutional Accreditation*.</w:t>
      </w:r>
    </w:p>
    <w:p>
      <w:pPr>
        <w:pStyle w:val="FirstParagraph"/>
      </w:pPr>
      <w:r>
        <w:t xml:space="preserve">© 2024 Academic Poster Presentation Series | Focusing on Higher Education Developments in Indonesia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the University Lecturer in Indonesia Jakarta</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