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Iran,</w:t>
      </w:r>
      <w:r>
        <w:t xml:space="preserve"> </w:t>
      </w:r>
      <w:r>
        <w:t xml:space="preserve">Tehran</w:t>
      </w:r>
    </w:p>
    <w:bookmarkStart w:id="28" w:name="Xda02ea7114ee63b8ce16c569dc579d2b0fdbcca"/>
    <w:p>
      <w:pPr>
        <w:pStyle w:val="Heading1"/>
      </w:pPr>
      <w:r>
        <w:t xml:space="preserve">The Evolving Role of the University Lecturer in Iran, Tehran: Bridging Tradition, Innovation, and Global Standards</w:t>
      </w:r>
    </w:p>
    <w:p>
      <w:pPr>
        <w:pStyle w:val="FirstParagraph"/>
      </w:pPr>
      <w:r>
        <w:rPr>
          <w:iCs/>
          <w:i/>
          <w:bCs/>
          <w:b/>
        </w:rPr>
        <w:t xml:space="preserve">Abstract:</w:t>
      </w:r>
      <w:r>
        <w:br/>
      </w:r>
      <w:r>
        <w:t xml:space="preserve">This poster presentation explores the multifaceted responsibilities of a</w:t>
      </w:r>
      <w:r>
        <w:t xml:space="preserve"> </w:t>
      </w:r>
      <w:r>
        <w:rPr>
          <w:bCs/>
          <w:b/>
        </w:rPr>
        <w:t xml:space="preserve">University Lecturer</w:t>
      </w:r>
      <w:r>
        <w:t xml:space="preserve"> </w:t>
      </w:r>
      <w:r>
        <w:t xml:space="preserve">within the higher education sector of</w:t>
      </w:r>
    </w:p>
    <w:p>
      <w:pPr>
        <w:pStyle w:val="BodyText"/>
      </w:pPr>
      <w:r>
        <w:t xml:space="preserve">Tehran, Iran&lt;/&gt;. As one of the most historically significant academic centers in the Middle East, Tehran presents a unique case study for understanding how traditional pedagogical methods intersect with modern research demands and international collaboration. This document outlines critical competencies, including cultural adaptability, technological integration in digital classrooms, and the facilitation of cross-cultural academic dialogue. The findings suggest that contemporary lecturers must transcend traditional instruction to become facilitators of critical thinking and global citizens in a rapidly evolving geopolitical landscape.</w:t>
      </w:r>
    </w:p>
    <w:bookmarkStart w:id="20" w:name="X93ea1fec946a7fc4c2c979ad1b76b7c1489cfcc"/>
    <w:p>
      <w:pPr>
        <w:pStyle w:val="Heading2"/>
      </w:pPr>
      <w:r>
        <w:t xml:space="preserve">1. Introduction: The Academic Landscape of Tehran</w:t>
      </w:r>
    </w:p>
    <w:p>
      <w:pPr>
        <w:pStyle w:val="FirstParagraph"/>
      </w:pPr>
      <w:r>
        <w:t xml:space="preserve">The city of</w:t>
      </w:r>
      <w:r>
        <w:t xml:space="preserve"> </w:t>
      </w:r>
      <w:r>
        <w:rPr>
          <w:bCs/>
          <w:b/>
        </w:rPr>
        <w:t xml:space="preserve">Tehran, Iran</w:t>
      </w:r>
      <w:r>
        <w:t xml:space="preserve">, serves as the intellectual heart of the nation, hosting some of its most prestigious institutions such as the University of Tehran and Sharif University of Technology. For a</w:t>
      </w:r>
      <w:r>
        <w:t xml:space="preserve"> </w:t>
      </w:r>
      <w:r>
        <w:rPr>
          <w:bCs/>
          <w:b/>
        </w:rPr>
        <w:t xml:space="preserve">University Lecturer</w:t>
      </w:r>
      <w:r>
        <w:t xml:space="preserve"> </w:t>
      </w:r>
      <w:r>
        <w:t xml:space="preserve">operating within this context, understanding the local academic culture is paramount. Historically characterized by rigorous theoretical instruction, higher education in Tehran is currently undergoing a significant transformation driven by digitalization and an increasing emphasis on research output.</w:t>
      </w:r>
    </w:p>
    <w:p>
      <w:pPr>
        <w:pStyle w:val="BodyText"/>
      </w:pPr>
      <w:r>
        <w:t xml:space="preserve">This poster presentation aims to dissect the specific challenges and opportunities faced by educators in this region. Unlike Western counterparts who may prioritize purely student-centered learning from day one, lecturers in</w:t>
      </w:r>
      <w:r>
        <w:t xml:space="preserve"> </w:t>
      </w:r>
      <w:r>
        <w:rPr>
          <w:bCs/>
          <w:b/>
        </w:rPr>
        <w:t xml:space="preserve">Tehran, Iran</w:t>
      </w:r>
      <w:r>
        <w:t xml:space="preserve"> </w:t>
      </w:r>
      <w:r>
        <w:t xml:space="preserve">often navigate a hybrid model that respects hierarchical academic structures while increasingly demanding interactive engagement.</w:t>
      </w:r>
    </w:p>
    <w:bookmarkEnd w:id="20"/>
    <w:bookmarkStart w:id="21" w:name="Xdb31d4601a3180cfe6a4f96d1dfd9fd712f9359"/>
    <w:p>
      <w:pPr>
        <w:pStyle w:val="Heading2"/>
      </w:pPr>
      <w:r>
        <w:t xml:space="preserve">2. Core Competencies for the Modern University Lecturer</w:t>
      </w:r>
    </w:p>
    <w:p>
      <w:pPr>
        <w:pStyle w:val="FirstParagraph"/>
      </w:pPr>
      <w:r>
        <w:t xml:space="preserve">To succeed as a</w:t>
      </w:r>
      <w:r>
        <w:t xml:space="preserve"> </w:t>
      </w:r>
      <w:r>
        <w:rPr>
          <w:bCs/>
          <w:b/>
        </w:rPr>
        <w:t xml:space="preserve">University Lecturer</w:t>
      </w:r>
      <w:r>
        <w:t xml:space="preserve">, one must possess a diverse skill set that goes beyond subject matter expertise. The following competencies are critical:</w:t>
      </w:r>
    </w:p>
    <w:p>
      <w:pPr>
        <w:numPr>
          <w:ilvl w:val="0"/>
          <w:numId w:val="1001"/>
        </w:numPr>
        <w:pStyle w:val="Compact"/>
      </w:pPr>
      <w:r>
        <w:rPr>
          <w:bCs/>
          <w:b/>
        </w:rPr>
        <w:t xml:space="preserve">Cultural Intelligence (CQ):</w:t>
      </w:r>
      <w:r>
        <w:br/>
      </w:r>
      <w:r>
        <w:t xml:space="preserve">A lecturer in Tehran must demonstrate high cultural sensitivity. This involves understanding the nuances of Persian hospitality, respect for age and seniority, and the specific social norms that influence classroom dynamics. Building rapport with students often requires more personal engagement than might be expected in other Western academic settings.</w:t>
      </w:r>
    </w:p>
    <w:p>
      <w:pPr>
        <w:numPr>
          <w:ilvl w:val="0"/>
          <w:numId w:val="1001"/>
        </w:numPr>
        <w:pStyle w:val="Compact"/>
      </w:pPr>
      <w:r>
        <w:rPr>
          <w:bCs/>
          <w:b/>
        </w:rPr>
        <w:t xml:space="preserve">Digital Pedagogy:</w:t>
      </w:r>
      <w:r>
        <w:br/>
      </w:r>
      <w:r>
        <w:t xml:space="preserve">Post-pandemic, the integration of learning management systems (LMS) has become ubiquitous in Iranian universities. However, infrastructure challenges sometimes persist. A competent lecturer must be adaptable, capable of delivering high-quality content via hybrid models and ensuring that digital resources are accessible to all students regardless of their socioeconomic background.</w:t>
      </w:r>
    </w:p>
    <w:p>
      <w:pPr>
        <w:numPr>
          <w:ilvl w:val="0"/>
          <w:numId w:val="1001"/>
        </w:numPr>
        <w:pStyle w:val="Compact"/>
      </w:pPr>
      <w:r>
        <w:rPr>
          <w:bCs/>
          <w:b/>
        </w:rPr>
        <w:t xml:space="preserve">Research Integrity and Global Visibility:</w:t>
      </w:r>
      <w:r>
        <w:br/>
      </w:r>
      <w:r>
        <w:t xml:space="preserve">The pressure to publish in international journals is intense in Tehran. Lecturers are expected not only to teach but also to lead research projects that gain global recognition. This requires proficiency in academic English, knowledge of international citation standards, and the ability to secure funding through both local Iranian grants and international partnerships.</w:t>
      </w:r>
    </w:p>
    <w:bookmarkEnd w:id="21"/>
    <w:bookmarkStart w:id="24" w:name="X6c776e8281edbd8350d3be9ecf4c476a06dcec6"/>
    <w:p>
      <w:pPr>
        <w:pStyle w:val="Heading2"/>
      </w:pPr>
      <w:r>
        <w:t xml:space="preserve">3. Pedagogical Strategies in the Tehran Context</w:t>
      </w:r>
    </w:p>
    <w:p>
      <w:pPr>
        <w:pStyle w:val="FirstParagraph"/>
      </w:pPr>
      <w:r>
        <w:t xml:space="preserve">The role of a</w:t>
      </w:r>
      <w:r>
        <w:t xml:space="preserve"> </w:t>
      </w:r>
      <w:r>
        <w:rPr>
          <w:bCs/>
          <w:b/>
        </w:rPr>
        <w:t xml:space="preserve">University Lecturer</w:t>
      </w:r>
      <w:r>
        <w:t xml:space="preserve"> </w:t>
      </w:r>
      <w:r>
        <w:t xml:space="preserve">in this specific geographic location requires tailored pedagogical strategies. The traditional "lecture-heavy" approach is slowly giving way to seminar-style discussions, yet significant barriers remain.</w:t>
      </w:r>
    </w:p>
    <w:bookmarkStart w:id="22" w:name="bridging-the-communication-gap"/>
    <w:p>
      <w:pPr>
        <w:pStyle w:val="Heading3"/>
      </w:pPr>
      <w:r>
        <w:t xml:space="preserve">Bridging the Communication Gap</w:t>
      </w:r>
    </w:p>
    <w:p>
      <w:pPr>
        <w:pStyle w:val="FirstParagraph"/>
      </w:pPr>
      <w:r>
        <w:t xml:space="preserve">In many disciplines, particularly science and engineering taught in</w:t>
      </w:r>
      <w:r>
        <w:t xml:space="preserve"> </w:t>
      </w:r>
      <w:r>
        <w:rPr>
          <w:bCs/>
          <w:b/>
        </w:rPr>
        <w:t xml:space="preserve">Tehran</w:t>
      </w:r>
      <w:r>
        <w:t xml:space="preserve">, there is a strong reliance on technical terminology. Lecturers must bridge the gap between Persian academic discourse and international scientific English. This dual-language proficiency allows students to engage with global literature while maintaining their linguistic heritage.</w:t>
      </w:r>
    </w:p>
    <w:bookmarkEnd w:id="22"/>
    <w:bookmarkStart w:id="23" w:name="X4b2bcdfecb0bd05fd45a39da9cd3bd676a21cb2"/>
    <w:p>
      <w:pPr>
        <w:pStyle w:val="Heading3"/>
      </w:pPr>
      <w:r>
        <w:t xml:space="preserve">Fostering Critical Thinking vs. Rote Memorization</w:t>
      </w:r>
    </w:p>
    <w:p>
      <w:pPr>
        <w:pStyle w:val="FirstParagraph"/>
      </w:pPr>
      <w:r>
        <w:t xml:space="preserve">A major challenge for higher education in Iran has been the historical emphasis on memorization over analysis. Effective lecturers employ Socratic questioning techniques to gently shift students toward critical evaluation. By connecting theoretical concepts to local societal issues—such as water scarcity, urban planning challenges in Tehran, or economic sanctions' impact on technology—lecturers can make abstract concepts relevant and stimulate deeper inquiry.</w:t>
      </w:r>
    </w:p>
    <w:bookmarkEnd w:id="23"/>
    <w:bookmarkEnd w:id="24"/>
    <w:bookmarkStart w:id="25" w:name="X4271ce992d127514c80809a95c7c7d162f07312"/>
    <w:p>
      <w:pPr>
        <w:pStyle w:val="Heading2"/>
      </w:pPr>
      <w:r>
        <w:t xml:space="preserve">4. Navigating Geopolitical and Administrative Realities</w:t>
      </w:r>
    </w:p>
    <w:p>
      <w:pPr>
        <w:pStyle w:val="FirstParagraph"/>
      </w:pPr>
      <w:r>
        <w:t xml:space="preserve">No discussion regarding the role of a university academic in this region would be complete without addressing external factors. The international isolation faced by Iran due to geopolitical sanctions creates unique administrative hurdles for a</w:t>
      </w:r>
      <w:r>
        <w:t xml:space="preserve"> </w:t>
      </w:r>
      <w:r>
        <w:rPr>
          <w:bCs/>
          <w:b/>
        </w:rPr>
        <w:t xml:space="preserve">University Lecturer</w:t>
      </w:r>
      <w:r>
        <w:t xml:space="preserve">.</w:t>
      </w:r>
    </w:p>
    <w:p>
      <w:pPr>
        <w:numPr>
          <w:ilvl w:val="0"/>
          <w:numId w:val="1002"/>
        </w:numPr>
        <w:pStyle w:val="Compact"/>
      </w:pPr>
      <w:r>
        <w:rPr>
          <w:bCs/>
          <w:b/>
        </w:rPr>
        <w:t xml:space="preserve">Limited Access to Resources:</w:t>
      </w:r>
      <w:r>
        <w:br/>
      </w:r>
      <w:r>
        <w:t xml:space="preserve">Lecturers may face difficulties in accessing the latest subscription-based journals or software licenses. Creative solutions, such as utilizing open-access repositories and fostering local research consortia, are essential.</w:t>
      </w:r>
    </w:p>
    <w:p>
      <w:pPr>
        <w:numPr>
          <w:ilvl w:val="0"/>
          <w:numId w:val="1002"/>
        </w:numPr>
        <w:pStyle w:val="Compact"/>
      </w:pPr>
      <w:r>
        <w:rPr>
          <w:bCs/>
          <w:b/>
        </w:rPr>
        <w:t xml:space="preserve">International Collaboration:</w:t>
      </w:r>
      <w:r>
        <w:br/>
      </w:r>
      <w:r>
        <w:t xml:space="preserve">Despite restrictions, maintaining academic ties with foreign institutions is a priority for many lecturers in Tehran. This involves navigating visa complexities for visiting scholars and ensuring that collaborative projects comply with international compliance standards while fostering genuine intellectual exchange.</w:t>
      </w:r>
    </w:p>
    <w:bookmarkEnd w:id="25"/>
    <w:bookmarkStart w:id="26" w:name="future-directions-and-recommendations"/>
    <w:p>
      <w:pPr>
        <w:pStyle w:val="Heading2"/>
      </w:pPr>
      <w:r>
        <w:t xml:space="preserve">5. Future Directions and Recommendations</w:t>
      </w:r>
    </w:p>
    <w:p>
      <w:pPr>
        <w:pStyle w:val="FirstParagraph"/>
      </w:pPr>
      <w:r>
        <w:t xml:space="preserve">The future of higher education in</w:t>
      </w:r>
      <w:r>
        <w:t xml:space="preserve"> </w:t>
      </w:r>
      <w:r>
        <w:rPr>
          <w:bCs/>
          <w:b/>
        </w:rPr>
        <w:t xml:space="preserve">Tehran, Iran</w:t>
      </w:r>
      <w:r>
        <w:t xml:space="preserve">, lies in the hands of those who can adapt to change while preserving academic excellence. For current and prospective</w:t>
      </w:r>
      <w:r>
        <w:t xml:space="preserve"> </w:t>
      </w:r>
      <w:r>
        <w:rPr>
          <w:bCs/>
          <w:b/>
        </w:rPr>
        <w:t xml:space="preserve">University Lecturers</w:t>
      </w:r>
      <w:r>
        <w:t xml:space="preserve">, we recommend the following:</w:t>
      </w:r>
    </w:p>
    <w:p>
      <w:pPr>
        <w:numPr>
          <w:ilvl w:val="0"/>
          <w:numId w:val="1003"/>
        </w:numPr>
        <w:pStyle w:val="Compact"/>
      </w:pPr>
      <w:r>
        <w:rPr>
          <w:bCs/>
          <w:b/>
        </w:rPr>
        <w:t xml:space="preserve">Prioritize Interdisciplinary Work:</w:t>
      </w:r>
      <w:r>
        <w:br/>
      </w:r>
      <w:r>
        <w:t xml:space="preserve">Breaking down silos between humanities and sciences is vital for addressing complex local problems.</w:t>
      </w:r>
    </w:p>
    <w:p>
      <w:pPr>
        <w:numPr>
          <w:ilvl w:val="0"/>
          <w:numId w:val="1003"/>
        </w:numPr>
        <w:pStyle w:val="Compact"/>
      </w:pPr>
      <w:r>
        <w:rPr>
          <w:bCs/>
          <w:b/>
        </w:rPr>
        <w:t xml:space="preserve">Leverage Digital Networks:</w:t>
      </w:r>
      <w:r>
        <w:br/>
      </w:r>
      <w:r>
        <w:t xml:space="preserve">Utilizing global academic networks to share resources and knowledge, mitigating the effects of physical isolation.</w:t>
      </w:r>
    </w:p>
    <w:p>
      <w:pPr>
        <w:numPr>
          <w:ilvl w:val="0"/>
          <w:numId w:val="1003"/>
        </w:numPr>
        <w:pStyle w:val="Compact"/>
      </w:pPr>
      <w:r>
        <w:rPr>
          <w:bCs/>
          <w:b/>
        </w:rPr>
        <w:t xml:space="preserve">Mentorship Programs:</w:t>
      </w:r>
      <w:r>
        <w:br/>
      </w:r>
      <w:r>
        <w:t xml:space="preserve">Establishing mentorship initiatives for young academics in Tehran to help them navigate the transition from student to independent researcher.</w:t>
      </w:r>
    </w:p>
    <w:p>
      <w:pPr>
        <w:pStyle w:val="FirstParagraph"/>
      </w:pPr>
      <w:r>
        <w:t xml:space="preserve">In conclusion, the role of a</w:t>
      </w:r>
      <w:r>
        <w:t xml:space="preserve"> </w:t>
      </w:r>
      <w:r>
        <w:rPr>
          <w:bCs/>
          <w:b/>
        </w:rPr>
        <w:t xml:space="preserve">University Lecturer</w:t>
      </w:r>
      <w:r>
        <w:t xml:space="preserve"> </w:t>
      </w:r>
      <w:r>
        <w:t xml:space="preserve">in</w:t>
      </w:r>
      <w:r>
        <w:t xml:space="preserve"> </w:t>
      </w:r>
      <w:r>
        <w:rPr>
          <w:bCs/>
          <w:b/>
        </w:rPr>
        <w:t xml:space="preserve">Tehran, Iran</w:t>
      </w:r>
      <w:r>
        <w:t xml:space="preserve">, is dynamic and demanding. It requires a delicate balance of respecting local traditions while embracing global academic standards. By focusing on cultural intelligence, technological adaptability, and innovative pedagogy, educators can significantly enhance the quality of education and research output in one of Asia's most important academic hubs.</w:t>
      </w:r>
    </w:p>
    <w:bookmarkEnd w:id="26"/>
    <w:bookmarkStart w:id="27" w:name="references-acknowledgments"/>
    <w:p>
      <w:pPr>
        <w:pStyle w:val="Heading2"/>
      </w:pPr>
      <w:r>
        <w:t xml:space="preserve">6. References &amp; Acknowledgments</w:t>
      </w:r>
    </w:p>
    <w:p>
      <w:pPr>
        <w:pStyle w:val="FirstParagraph"/>
      </w:pPr>
      <w:r>
        <w:rPr>
          <w:iCs/>
          <w:i/>
        </w:rPr>
        <w:t xml:space="preserve">Note: This poster presentation is a synthetic academic document designed to meet specific formatting requirements. It synthesizes general knowledge regarding higher education trends in the Middle East and specifically Iran.</w:t>
      </w:r>
    </w:p>
    <w:p>
      <w:pPr>
        <w:pStyle w:val="BodyText"/>
      </w:pPr>
      <w:r>
        <w:rPr>
          <w:bCs/>
          <w:b/>
        </w:rPr>
        <w:t xml:space="preserve">Acknowledgments:</w:t>
      </w:r>
      <w:r>
        <w:br/>
      </w:r>
      <w:r>
        <w:t xml:space="preserve">We extend our gratitude to the diverse community of educators in Tehran who strive daily to elevate academic standards despite structural challenges. Their resilience and dedication serve as an inspiration for global academic solidarity.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University Lecturer in Iran, Tehran</dc:title>
  <dc:creator/>
  <dc:language>en</dc:language>
  <cp:keywords/>
  <dcterms:created xsi:type="dcterms:W3CDTF">2026-07-29T10:36:45Z</dcterms:created>
  <dcterms:modified xsi:type="dcterms:W3CDTF">2026-07-29T10:36:45Z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