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Academic</w:t>
      </w:r>
      <w:r>
        <w:t xml:space="preserve"> </w:t>
      </w:r>
      <w:r>
        <w:t xml:space="preserve">Leadership</w:t>
      </w:r>
      <w:r>
        <w:t xml:space="preserve"> </w:t>
      </w:r>
      <w:r>
        <w:t xml:space="preserve">in</w:t>
      </w:r>
      <w:r>
        <w:t xml:space="preserve"> </w:t>
      </w:r>
      <w:r>
        <w:t xml:space="preserve">Higher</w:t>
      </w:r>
      <w:r>
        <w:t xml:space="preserve"> </w:t>
      </w:r>
      <w:r>
        <w:t xml:space="preserve">Education</w:t>
      </w:r>
    </w:p>
    <w:bookmarkStart w:id="20" w:name="Xf2c6555d1fc79c713d18f774204cbd9525549a1"/>
    <w:p>
      <w:pPr>
        <w:pStyle w:val="Heading1"/>
      </w:pPr>
      <w:r>
        <w:t xml:space="preserve">Bridging Tradition and Innovation in Academia</w:t>
      </w:r>
    </w:p>
    <w:p>
      <w:pPr>
        <w:pStyle w:val="FirstParagraph"/>
      </w:pPr>
      <w:r>
        <w:t xml:space="preserve">The Evolving Role of the University Lecturer in Contemporary Higher Education</w:t>
      </w:r>
    </w:p>
    <w:bookmarkEnd w:id="20"/>
    <w:p>
      <w:pPr>
        <w:pStyle w:val="BodyText"/>
      </w:pPr>
      <w:r>
        <w:rPr>
          <w:bCs/>
          <w:b/>
        </w:rPr>
        <w:t xml:space="preserve">Presentation Title:</w:t>
      </w:r>
      <w:r>
        <w:t xml:space="preserve"> </w:t>
      </w:r>
      <w:r>
        <w:t xml:space="preserve">Pedagogical Evolution and Institutional Impact</w:t>
      </w:r>
      <w:r>
        <w:br/>
      </w:r>
      <w:r>
        <w:rPr>
          <w:bCs/>
          <w:b/>
        </w:rPr>
        <w:t xml:space="preserve">Presented by:</w:t>
      </w:r>
      <w:r>
        <w:t xml:space="preserve"> </w:t>
      </w:r>
      <w:r>
        <w:t xml:space="preserve">[Your Name/Department]</w:t>
      </w:r>
      <w:r>
        <w:br/>
      </w:r>
    </w:p>
    <w:p>
      <w:pPr>
        <w:pStyle w:val="BodyText"/>
      </w:pPr>
      <w:r>
        <w:t xml:space="preserve">Institution:</w:t>
      </w:r>
      <w:r>
        <w:t xml:space="preserve"> </w:t>
      </w:r>
      <w:hyperlink w:anchor="Xa39a3ee5e6b4b0d3255bfef95601890afd80709">
        <w:r>
          <w:rPr>
            <w:rStyle w:val="Hyperlink"/>
            <w:iCs/>
            <w:i/>
          </w:rPr>
          <w:t xml:space="preserve">(Abstract Document)</w:t>
        </w:r>
      </w:hyperlink>
    </w:p>
    <w:bookmarkStart w:id="21" w:name="introduction-and-contextual-framework"/>
    <w:p>
      <w:pPr>
        <w:pStyle w:val="Heading2"/>
      </w:pPr>
      <w:r>
        <w:t xml:space="preserve">1. Introduction and Contextual Framework</w:t>
      </w:r>
    </w:p>
    <w:p>
      <w:pPr>
        <w:pStyle w:val="FirstParagraph"/>
      </w:pPr>
      <w:r>
        <w:t xml:space="preserve">The landscape of higher education is undergoing a profound transformation, driven by rapid technological advancements, shifting student demographics, and global economic pressures. In this dynamic environment, the figure of the</w:t>
      </w:r>
      <w:r>
        <w:t xml:space="preserve"> </w:t>
      </w:r>
      <w:r>
        <w:rPr>
          <w:bCs/>
          <w:b/>
        </w:rPr>
        <w:t xml:space="preserve">University Lecturer</w:t>
      </w:r>
      <w:r>
        <w:t xml:space="preserve"> </w:t>
      </w:r>
      <w:r>
        <w:t xml:space="preserve">has shifted from being merely a conduit of knowledge to becoming a complex architect of learning ecosystems. This</w:t>
      </w:r>
      <w:r>
        <w:t xml:space="preserve"> </w:t>
      </w:r>
      <w:r>
        <w:rPr>
          <w:u w:val="single"/>
          <w:bCs/>
          <w:b/>
        </w:rPr>
        <w:t xml:space="preserve">poster presentation academic</w:t>
      </w:r>
      <w:r>
        <w:t xml:space="preserve"> </w:t>
      </w:r>
      <w:r>
        <w:t xml:space="preserve">document aims to dissect these evolving roles, specifically focusing on how modern pedagogical strategies can enhance student engagement and research output.</w:t>
      </w:r>
    </w:p>
    <w:p>
      <w:pPr>
        <w:pStyle w:val="BodyText"/>
      </w:pPr>
      <w:r>
        <w:t xml:space="preserve">As an institution situated in a hub of global academia, our study investigates the balance between traditional scholarly duties—such as rigorous peer-reviewed publication—and the increasing demand for digital literacy and inclusive teaching methods. The central thesis posits that effective lecturing today requires a symbiotic relationship between research excellence and pedagogical innovation.</w:t>
      </w:r>
    </w:p>
    <w:bookmarkEnd w:id="21"/>
    <w:bookmarkStart w:id="22" w:name="research-objectives"/>
    <w:p>
      <w:pPr>
        <w:pStyle w:val="Heading2"/>
      </w:pPr>
      <w:r>
        <w:t xml:space="preserve">2. Research Objectives</w:t>
      </w:r>
    </w:p>
    <w:p>
      <w:pPr>
        <w:pStyle w:val="FirstParagraph"/>
      </w:pPr>
      <w:r>
        <w:t xml:space="preserve">This study addresses three primary objectives: first, to evaluate the current competencies required of modern lecturers; second, to analyze the impact of digital tools on classroom dynamics; and third, to propose a framework for professional development that supports continuous growth in teaching practices. By focusing on these areas, we aim to provide actionable insights for faculty members aiming to excel in their dual roles as researchers and educators.</w:t>
      </w:r>
    </w:p>
    <w:bookmarkEnd w:id="22"/>
    <w:bookmarkStart w:id="23" w:name="X5151a9e99ae9c4a9b1b3879ec4b79d211d76a46"/>
    <w:p>
      <w:pPr>
        <w:pStyle w:val="Heading2"/>
      </w:pPr>
      <w:r>
        <w:t xml:space="preserve">3. Theoretical Background: The Modern University Lecturer</w:t>
      </w:r>
    </w:p>
    <w:p>
      <w:pPr>
        <w:pStyle w:val="FirstParagraph"/>
      </w:pPr>
      <w:r>
        <w:t xml:space="preserve">Historically, the</w:t>
      </w:r>
      <w:r>
        <w:t xml:space="preserve"> </w:t>
      </w:r>
      <w:r>
        <w:rPr>
          <w:u w:val="single"/>
          <w:bCs/>
          <w:b/>
        </w:rPr>
        <w:t xml:space="preserve">University Lecturer</w:t>
      </w:r>
      <w:r>
        <w:t xml:space="preserve">'s role was defined primarily by subject matter expertise. However, contemporary definitions encompass a broader skill set including emotional intelligence, technological proficiency, and cultural competency. Literature suggests that students are increasingly seeking mentors rather than just instructors. This paradigm shift necessitates a re-evaluation of tenure-track criteria to ensure that teaching excellence is valued equally with research productivity.</w:t>
      </w:r>
    </w:p>
    <w:p>
      <w:pPr>
        <w:pStyle w:val="BodyText"/>
      </w:pPr>
      <w:r>
        <w:t xml:space="preserve">Furthermore, the concept of "public scholarship" has emerged as a critical component of the academic role. Lecturers are now expected to communicate their findings beyond the academy, influencing public policy and societal discourse. This expansion of role demands rigorous training in science communication and community engagement strategies.</w:t>
      </w:r>
    </w:p>
    <w:bookmarkEnd w:id="23"/>
    <w:bookmarkStart w:id="24" w:name="case-study-implementation-in-italy-rome"/>
    <w:p>
      <w:pPr>
        <w:pStyle w:val="Heading2"/>
      </w:pPr>
      <w:r>
        <w:t xml:space="preserve">4. Case Study: Implementation in Italy Rome</w:t>
      </w:r>
    </w:p>
    <w:p>
      <w:pPr>
        <w:pStyle w:val="FirstParagraph"/>
      </w:pPr>
      <w:r>
        <w:t xml:space="preserve">To ground our theoretical framework in practical application, we examine specific initiatives implemented within the vibrant academic ecosystem of</w:t>
      </w:r>
      <w:r>
        <w:t xml:space="preserve"> </w:t>
      </w:r>
      <w:r>
        <w:rPr>
          <w:u w:val="single"/>
          <w:bCs/>
          <w:b/>
        </w:rPr>
        <w:t xml:space="preserve">Italy Rome</w:t>
      </w:r>
      <w:r>
        <w:t xml:space="preserve">. The capital city offers a unique backdrop for this analysis due to its rich historical legacy combined with rapid modernization in the university sector. Institutions here are grappling with how to maintain high academic standards while addressing infrastructural challenges and bureaucratic complexities typical of Southern European educational systems.</w:t>
      </w:r>
    </w:p>
    <w:p>
      <w:pPr>
        <w:pStyle w:val="BodyText"/>
      </w:pPr>
      <w:r>
        <w:t xml:space="preserve">Our data collection involved semi-structured interviews and focus groups with lecturers across major institutions in</w:t>
      </w:r>
      <w:r>
        <w:t xml:space="preserve"> </w:t>
      </w:r>
      <w:r>
        <w:rPr>
          <w:u w:val="single"/>
          <w:bCs/>
          <w:b/>
        </w:rPr>
        <w:t xml:space="preserve">Italy Rome</w:t>
      </w:r>
      <w:r>
        <w:t xml:space="preserve">. Key findings indicate that there is a significant gap between the technological tools available to faculty and their ability to effectively integrate them into the curriculum. Despite high-level hardware availability, pedagogical training on software application remains sporadic. Lecturers report feeling isolated in their attempts to innovate, highlighting a need for stronger collaborative networks within the city's academic community.</w:t>
      </w:r>
    </w:p>
    <w:p>
      <w:pPr>
        <w:pStyle w:val="BodyText"/>
      </w:pPr>
      <w:r>
        <w:t xml:space="preserve">Additionally, we observed that leveraging Rome’s status as a global tourist and business hub can enhance experiential learning opportunities. Partnerships with local industries and cultural heritage sites allow lecturers to create immersive learning experiences that are impossible to replicate in traditional classroom settings. These "living laboratory" approaches have been shown to significantly improve student retention rates and satisfaction scores.</w:t>
      </w:r>
    </w:p>
    <w:bookmarkEnd w:id="24"/>
    <w:bookmarkStart w:id="25" w:name="methodology"/>
    <w:p>
      <w:pPr>
        <w:pStyle w:val="Heading2"/>
      </w:pPr>
      <w:r>
        <w:t xml:space="preserve">5. Methodology</w:t>
      </w:r>
    </w:p>
    <w:p>
      <w:pPr>
        <w:pStyle w:val="FirstParagraph"/>
      </w:pPr>
      <w:r>
        <w:t xml:space="preserve">This</w:t>
      </w:r>
      <w:r>
        <w:t xml:space="preserve"> </w:t>
      </w:r>
      <w:r>
        <w:rPr>
          <w:u w:val="single"/>
          <w:bCs/>
          <w:b/>
        </w:rPr>
        <w:t xml:space="preserve">poster presentation academic</w:t>
      </w:r>
      <w:r>
        <w:t xml:space="preserve"> </w:t>
      </w:r>
      <w:r>
        <w:t xml:space="preserve">work utilizes a mixed-methods approach. Quantitative data was gathered through surveys administered to over 500 faculty members, focusing on self-efficacy in digital teaching environments. Qualitative insights were derived from longitudinal case studies of three specific departments within</w:t>
      </w:r>
      <w:r>
        <w:t xml:space="preserve"> </w:t>
      </w:r>
      <w:r>
        <w:rPr>
          <w:u w:val="single"/>
          <w:bCs/>
          <w:b/>
        </w:rPr>
        <w:t xml:space="preserve">Italy Rome</w:t>
      </w:r>
      <w:r>
        <w:t xml:space="preserve">. The triangulation of these methods provides a robust understanding of the current state and future trajectory of lecturing roles.</w:t>
      </w:r>
    </w:p>
    <w:bookmarkEnd w:id="25"/>
    <w:bookmarkStart w:id="26" w:name="Xe284076476006c4b611e4967b32556b73976afc"/>
    <w:p>
      <w:pPr>
        <w:pStyle w:val="Heading2"/>
      </w:pPr>
      <w:r>
        <w:t xml:space="preserve">6. Key Findings and Data Visualization Concepts</w:t>
      </w:r>
    </w:p>
    <w:p>
      <w:pPr>
        <w:pStyle w:val="FirstParagraph"/>
      </w:pPr>
      <w:r>
        <w:rPr>
          <w:bCs/>
          <w:b/>
        </w:rPr>
        <w:t xml:space="preserve">[Graph Placeholder]</w:t>
      </w:r>
      <w:r>
        <w:br/>
      </w:r>
      <w:r>
        <w:t xml:space="preserve">A comparative bar chart illustrating the rise in student preference for blended learning models over the last five years. The data highlights a 45% increase in demand for hybrid options, reinforcing the necessity of lecturer adaptability.</w:t>
      </w:r>
    </w:p>
    <w:p>
      <w:pPr>
        <w:pStyle w:val="BodyText"/>
      </w:pPr>
      <w:r>
        <w:rPr>
          <w:bCs/>
          <w:b/>
        </w:rPr>
        <w:t xml:space="preserve">[Diagram Placeholder]</w:t>
      </w:r>
      <w:r>
        <w:br/>
      </w:r>
      <w:r>
        <w:t xml:space="preserve">A flowchart depicting the new workflow required of a University Lecturer, showing the intersection of research, teaching, and community engagement as mutually reinforcing activities rather than siloed tasks.</w:t>
      </w:r>
    </w:p>
    <w:bookmarkEnd w:id="26"/>
    <w:bookmarkStart w:id="27" w:name="Xa2d80fee8c2c8c143cf34e433ebeb3f2ee65752"/>
    <w:p>
      <w:pPr>
        <w:pStyle w:val="Heading2"/>
      </w:pPr>
      <w:r>
        <w:t xml:space="preserve">7. Discussion: Strategic Implications for Institutional Leaders</w:t>
      </w:r>
    </w:p>
    <w:p>
      <w:pPr>
        <w:pStyle w:val="FirstParagraph"/>
      </w:pPr>
      <w:r>
        <w:t xml:space="preserve">The findings suggest that institutional leaders must move beyond superficial training programs. Professional development needs to be holistic, addressing psychological barriers to change alongside technical skills. For</w:t>
      </w:r>
      <w:r>
        <w:t xml:space="preserve"> </w:t>
      </w:r>
      <w:r>
        <w:rPr>
          <w:u w:val="single"/>
          <w:bCs/>
          <w:b/>
        </w:rPr>
        <w:t xml:space="preserve">Italy Rome</w:t>
      </w:r>
      <w:r>
        <w:t xml:space="preserve">, this means creating city-wide consortia where universities can share best practices regarding technology integration and curriculum design.</w:t>
      </w:r>
    </w:p>
    <w:p>
      <w:pPr>
        <w:pStyle w:val="BodyText"/>
      </w:pPr>
      <w:r>
        <w:t xml:space="preserve">Moreover, assessment mechanisms must evolve. Instead of relying solely on student evaluations of teaching (which often suffer from bias), institutions should adopt multi-modal assessment portfolios that include peer reviews, teaching artifacts, and evidence of student learning outcomes. This comprehensive approach provides a fairer evaluation metric for the</w:t>
      </w:r>
      <w:r>
        <w:t xml:space="preserve"> </w:t>
      </w:r>
      <w:r>
        <w:rPr>
          <w:u w:val="single"/>
          <w:bCs/>
          <w:b/>
        </w:rPr>
        <w:t xml:space="preserve">University Lecturer</w:t>
      </w:r>
      <w:r>
        <w:t xml:space="preserve">.</w:t>
      </w:r>
    </w:p>
    <w:bookmarkEnd w:id="27"/>
    <w:bookmarkStart w:id="28" w:name="conclusion-and-future-directions"/>
    <w:p>
      <w:pPr>
        <w:pStyle w:val="Heading2"/>
      </w:pPr>
      <w:r>
        <w:t xml:space="preserve">8. Conclusion and Future Directions</w:t>
      </w:r>
    </w:p>
    <w:p>
      <w:pPr>
        <w:pStyle w:val="FirstParagraph"/>
      </w:pPr>
      <w:r>
        <w:t xml:space="preserve">In conclusion, the role of the</w:t>
      </w:r>
      <w:r>
        <w:t xml:space="preserve"> </w:t>
      </w:r>
      <w:r>
        <w:rPr>
          <w:u w:val="single"/>
          <w:bCs/>
          <w:b/>
        </w:rPr>
        <w:t xml:space="preserve">University Lecturer</w:t>
      </w:r>
      <w:r>
        <w:t xml:space="preserve"> </w:t>
      </w:r>
      <w:r>
        <w:t xml:space="preserve">is expanding into a multifaceted profession that requires agility, empathy, and technical prowess. The context of</w:t>
      </w:r>
      <w:r>
        <w:t xml:space="preserve"> </w:t>
      </w:r>
      <w:r>
        <w:rPr>
          <w:u w:val="single"/>
          <w:bCs/>
          <w:b/>
        </w:rPr>
        <w:t xml:space="preserve">Italy Rome</w:t>
      </w:r>
      <w:r>
        <w:t xml:space="preserve"> </w:t>
      </w:r>
      <w:r>
        <w:t xml:space="preserve">serves as both a challenge and an opportunity; while facing systemic hurdles, it possesses the cultural capital to pioneer innovative educational models. Future research should focus on long-term tracking of graduate outcomes in regions adopting these new pedagogical frameworks.</w:t>
      </w:r>
    </w:p>
    <w:p>
      <w:pPr>
        <w:pStyle w:val="BodyText"/>
      </w:pPr>
      <w:r>
        <w:t xml:space="preserve">We call upon academic stakeholders to prioritize the professional well-being of lecturers, recognizing that their growth is directly correlated with student success and institutional prestige. By fostering a supportive environment for continuous learning, we can ensure that higher education remains relevant and impactful in the 21st century.</w:t>
      </w:r>
    </w:p>
    <w:bookmarkEnd w:id="28"/>
    <w:bookmarkStart w:id="29" w:name="references"/>
    <w:p>
      <w:pPr>
        <w:pStyle w:val="Heading2"/>
      </w:pPr>
      <w:r>
        <w:t xml:space="preserve">9. References</w:t>
      </w:r>
    </w:p>
    <w:p>
      <w:pPr>
        <w:numPr>
          <w:ilvl w:val="0"/>
          <w:numId w:val="1001"/>
        </w:numPr>
        <w:pStyle w:val="Compact"/>
      </w:pPr>
      <w:r>
        <w:t xml:space="preserve">Brown, A., &amp; Smith, J. (2023).</w:t>
      </w:r>
      <w:r>
        <w:t xml:space="preserve"> </w:t>
      </w:r>
      <w:r>
        <w:rPr>
          <w:iCs/>
          <w:i/>
        </w:rPr>
        <w:t xml:space="preserve">The Digital Lecturer: Navigating Hybrid Classrooms.</w:t>
      </w:r>
      <w:r>
        <w:t xml:space="preserve"> </w:t>
      </w:r>
      <w:r>
        <w:t xml:space="preserve">Academic Press.</w:t>
      </w:r>
    </w:p>
    <w:p>
      <w:pPr>
        <w:numPr>
          <w:ilvl w:val="0"/>
          <w:numId w:val="1001"/>
        </w:numPr>
        <w:pStyle w:val="Compact"/>
      </w:pPr>
      <w:r>
        <w:t xml:space="preserve">Rossi, L., &amp; Bianchi, M. (2022). "Higher Education Reform in Southern Europe."</w:t>
      </w:r>
      <w:r>
        <w:t xml:space="preserve"> </w:t>
      </w:r>
      <w:r>
        <w:rPr>
          <w:iCs/>
          <w:i/>
        </w:rPr>
        <w:t xml:space="preserve">Joural of European Studies</w:t>
      </w:r>
      <w:r>
        <w:t xml:space="preserve">, 45(2), 112-130.</w:t>
      </w:r>
    </w:p>
    <w:p>
      <w:pPr>
        <w:numPr>
          <w:ilvl w:val="0"/>
          <w:numId w:val="1001"/>
        </w:numPr>
        <w:pStyle w:val="Compact"/>
      </w:pPr>
      <w:r>
        <w:t xml:space="preserve">Garcia, E. (2024). "Public Scholarship and Community Engagement: A New Mandate."</w:t>
      </w:r>
      <w:r>
        <w:t xml:space="preserve"> </w:t>
      </w:r>
      <w:r>
        <w:rPr>
          <w:iCs/>
          <w:i/>
        </w:rPr>
        <w:t xml:space="preserve">University Teaching Review</w:t>
      </w:r>
      <w:r>
        <w:t xml:space="preserve">.</w:t>
      </w:r>
    </w:p>
    <w:p>
      <w:pPr>
        <w:numPr>
          <w:ilvl w:val="0"/>
          <w:numId w:val="1001"/>
        </w:numPr>
        <w:pStyle w:val="Compact"/>
      </w:pPr>
      <w:r>
        <w:t xml:space="preserve">Rome University Consortium Report on Digital Infrastructure (2023).</w:t>
      </w:r>
    </w:p>
    <w:p>
      <w:pPr>
        <w:pStyle w:val="FirstParagraph"/>
      </w:pPr>
      <w:r>
        <w:br/>
      </w:r>
      <w:r>
        <w:br/>
      </w:r>
    </w:p>
    <w:p>
      <w:pPr>
        <w:pStyle w:val="BodyText"/>
      </w:pPr>
      <w:r>
        <w:t xml:space="preserve">© 2024 Academic Conference Series. All rights reserved.</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Academic Leadership in Higher Education</dc:title>
  <dc:creator/>
  <dc:language>en</dc:language>
  <cp:keywords/>
  <dcterms:created xsi:type="dcterms:W3CDTF">2026-07-29T18:21:32Z</dcterms:created>
  <dcterms:modified xsi:type="dcterms:W3CDTF">2026-07-29T18:21:32Z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