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University</w:t>
      </w:r>
      <w:r>
        <w:t xml:space="preserve"> </w:t>
      </w:r>
      <w:r>
        <w:t xml:space="preserve">Lecturing</w:t>
      </w:r>
      <w:r>
        <w:t xml:space="preserve"> </w:t>
      </w:r>
      <w:r>
        <w:t xml:space="preserve">in</w:t>
      </w:r>
      <w:r>
        <w:t xml:space="preserve"> </w:t>
      </w:r>
      <w:r>
        <w:t xml:space="preserve">Yangon,</w:t>
      </w:r>
      <w:r>
        <w:t xml:space="preserve"> </w:t>
      </w:r>
      <w:r>
        <w:t xml:space="preserve">Myanmar</w:t>
      </w:r>
    </w:p>
    <w:bookmarkStart w:id="21" w:name="top"/>
    <w:bookmarkStart w:id="20" w:name="X43ba2ef81ca2851ab88c54b142a19c174fa4845"/>
    <w:p>
      <w:pPr>
        <w:pStyle w:val="Heading1"/>
      </w:pPr>
      <w:r>
        <w:t xml:space="preserve">Bridging Traditions and Innovations in Higher Education</w:t>
      </w:r>
    </w:p>
    <w:p>
      <w:pPr>
        <w:pStyle w:val="FirstParagraph"/>
      </w:pPr>
      <w:r>
        <w:t xml:space="preserve">A Critical Analysis of the Role, Challenges, and Future of the University Lecturer in Myanmar (Yangon)</w:t>
      </w:r>
    </w:p>
    <w:p>
      <w:pPr>
        <w:pStyle w:val="BodyText"/>
      </w:pPr>
      <w:r>
        <w:rPr>
          <w:bCs/>
          <w:b/>
        </w:rPr>
        <w:t xml:space="preserve">Afiliation:</w:t>
      </w:r>
      <w:r>
        <w:t xml:space="preserve"> </w:t>
      </w:r>
      <w:r>
        <w:t xml:space="preserve">Department of Educational Studies &amp; Southeast Asian Development</w:t>
      </w:r>
    </w:p>
    <w:p>
      <w:pPr>
        <w:pStyle w:val="BodyText"/>
      </w:pPr>
      <w:r>
        <w:rPr>
          <w:bCs/>
          <w:b/>
        </w:rPr>
        <w:t xml:space="preserve">Presentation Type:</w:t>
      </w:r>
      <w:r>
        <w:t xml:space="preserve"> </w:t>
      </w:r>
      <w:r>
        <w:t xml:space="preserve">Academic Poster Session</w:t>
      </w:r>
    </w:p>
    <w:bookmarkEnd w:id="20"/>
    <w:bookmarkEnd w:id="21"/>
    <w:bookmarkStart w:id="23" w:name="abstract"/>
    <w:bookmarkStart w:id="22" w:name="abstract"/>
    <w:p>
      <w:pPr>
        <w:pStyle w:val="Heading2"/>
      </w:pPr>
      <w:r>
        <w:t xml:space="preserve">Abstract</w:t>
      </w:r>
    </w:p>
    <w:p>
      <w:pPr>
        <w:pStyle w:val="FirstParagraph"/>
      </w:pPr>
      <w:r>
        <w:t xml:space="preserve">The role of the University Lecturer in Myanmar has undergone significant transformation over the last few decades. This poster presentation explores the evolving landscape of tertiary education, with a specific focus on Yangon, the commercial and educational hub of Myanmar. As a developing nation navigating political shifts and economic integration, Yangon represents a unique case study for understanding how academic staff navigate pedagogical changes amidst resource constraints.</w:t>
      </w:r>
    </w:p>
    <w:p>
      <w:pPr>
        <w:pStyle w:val="BodyText"/>
      </w:pPr>
      <w:r>
        <w:t xml:space="preserve">This study utilizes qualitative data collected from interviews with senior faculty members at three major universities in Yangon: the University of Yangon (UoY), the Institute of Technology (UOT), and private colleges emerging in the city center. The findings highlight a dichotomy between traditional rote-learning methods inherited from colonial-era structures and modern, student-centered approaches demanded by global academic standards.</w:t>
      </w:r>
    </w:p>
    <w:p>
      <w:pPr>
        <w:pStyle w:val="BodyText"/>
      </w:pPr>
      <w:r>
        <w:t xml:space="preserve">The presentation aims to provide insights for policymakers, international partners, and local administrators on how to better support University Lecturers in Yangon through professional development programs that are context-specific rather than generic imports.</w:t>
      </w:r>
    </w:p>
    <w:bookmarkEnd w:id="22"/>
    <w:bookmarkEnd w:id="23"/>
    <w:bookmarkStart w:id="25" w:name="introduction"/>
    <w:bookmarkStart w:id="24" w:name="introduction-context"/>
    <w:p>
      <w:pPr>
        <w:pStyle w:val="Heading2"/>
      </w:pPr>
      <w:r>
        <w:t xml:space="preserve">Introduction &amp; Context</w:t>
      </w:r>
    </w:p>
    <w:p>
      <w:pPr>
        <w:pStyle w:val="FirstParagraph"/>
      </w:pPr>
      <w:r>
        <w:rPr>
          <w:bCs/>
          <w:b/>
        </w:rPr>
        <w:t xml:space="preserve">The Academic Landscape in Myanmar:</w:t>
      </w:r>
    </w:p>
    <w:p>
      <w:pPr>
        <w:numPr>
          <w:ilvl w:val="0"/>
          <w:numId w:val="1001"/>
        </w:numPr>
        <w:pStyle w:val="Compact"/>
      </w:pPr>
      <w:r>
        <w:rPr>
          <w:bCs/>
          <w:b/>
        </w:rPr>
        <w:t xml:space="preserve">Historical Context:</w:t>
      </w:r>
      <w:r>
        <w:t xml:space="preserve"> </w:t>
      </w:r>
      <w:r>
        <w:t xml:space="preserve">University education in Myanmar has long been dominated by the public sector, particularly in Yangon. The system was historically characterized by centralized curriculum control and limited faculty autonomy.</w:t>
      </w:r>
    </w:p>
    <w:p>
      <w:pPr>
        <w:numPr>
          <w:ilvl w:val="0"/>
          <w:numId w:val="1001"/>
        </w:numPr>
        <w:pStyle w:val="Compact"/>
      </w:pPr>
      <w:r>
        <w:rPr>
          <w:bCs/>
          <w:b/>
        </w:rPr>
        <w:t xml:space="preserve">The Shift to Yangon:</w:t>
      </w:r>
      <w:r>
        <w:t xml:space="preserve"> </w:t>
      </w:r>
      <w:r>
        <w:t xml:space="preserve">As of the last decade, there has been a massive influx of private higher education institutions in Yangon. This shift has created a competitive market where University Lecturers must balance administrative duties with teaching loads that often exceed international norms.</w:t>
      </w:r>
    </w:p>
    <w:p>
      <w:pPr>
        <w:numPr>
          <w:ilvl w:val="0"/>
          <w:numId w:val="1001"/>
        </w:numPr>
        <w:pStyle w:val="Compact"/>
      </w:pPr>
      <w:r>
        <w:rPr>
          <w:bCs/>
          <w:b/>
        </w:rPr>
        <w:t xml:space="preserve">Global Integration:</w:t>
      </w:r>
      <w:r>
        <w:t xml:space="preserve"> </w:t>
      </w:r>
      <w:r>
        <w:t xml:space="preserve">With increasing participation in ASEAN educational frameworks, the expectation for Yangonian academics is to produce research that meets international indexing standards (Scopus, Web of Science), a task complicated by limited access to global databases and funding.</w:t>
      </w:r>
    </w:p>
    <w:p>
      <w:pPr>
        <w:pStyle w:val="FirstParagraph"/>
      </w:pPr>
      <w:r>
        <w:t xml:space="preserve">This presentation argues that the University Lecturer in Myanmar is not merely an educator but a cultural broker, translating global academic norms into local contexts while managing significant institutional pressures.</w:t>
      </w:r>
    </w:p>
    <w:bookmarkEnd w:id="24"/>
    <w:bookmarkEnd w:id="25"/>
    <w:bookmarkStart w:id="27" w:name="methodology"/>
    <w:bookmarkStart w:id="26" w:name="methodology"/>
    <w:p>
      <w:pPr>
        <w:pStyle w:val="Heading2"/>
      </w:pPr>
      <w:r>
        <w:t xml:space="preserve">Methodology</w:t>
      </w:r>
    </w:p>
    <w:p>
      <w:pPr>
        <w:pStyle w:val="FirstParagraph"/>
      </w:pPr>
      <w:r>
        <w:t xml:space="preserve">This research employs a mixed-methods approach to capture both the quantitative realities of workload and the qualitative experiences of identity formation among University Lecturers in Yangon.</w:t>
      </w:r>
    </w:p>
    <w:p>
      <w:pPr>
        <w:pStyle w:val="BodyText"/>
      </w:pPr>
      <w:r>
        <w:rPr>
          <w:bCs/>
          <w:b/>
        </w:rPr>
        <w:t xml:space="preserve">Survey Data:</w:t>
      </w:r>
    </w:p>
    <w:p>
      <w:pPr>
        <w:numPr>
          <w:ilvl w:val="0"/>
          <w:numId w:val="1002"/>
        </w:numPr>
        <w:pStyle w:val="Compact"/>
      </w:pPr>
      <w:r>
        <w:t xml:space="preserve">A structured questionnaire was distributed to 150 academic staff across public and private universities in Yangon.</w:t>
      </w:r>
    </w:p>
    <w:p>
      <w:pPr>
        <w:numPr>
          <w:ilvl w:val="0"/>
          <w:numId w:val="1002"/>
        </w:numPr>
        <w:pStyle w:val="Compact"/>
      </w:pPr>
      <w:r>
        <w:t xml:space="preserve">Data points included weekly teaching hours, research publication rates, access to digital resources, and perceived administrative burden.</w:t>
      </w:r>
    </w:p>
    <w:p>
      <w:pPr>
        <w:pStyle w:val="FirstParagraph"/>
      </w:pPr>
      <w:r>
        <w:rPr>
          <w:bCs/>
          <w:b/>
        </w:rPr>
        <w:t xml:space="preserve">Semi-Structured Interviews:</w:t>
      </w:r>
    </w:p>
    <w:p>
      <w:pPr>
        <w:numPr>
          <w:ilvl w:val="0"/>
          <w:numId w:val="1003"/>
        </w:numPr>
        <w:pStyle w:val="Compact"/>
      </w:pPr>
      <w:r>
        <w:t xml:space="preserve">In-depth interviews were conducted with 20 University Lecturers ranging from junior lecturers to senior professors.</w:t>
      </w:r>
    </w:p>
    <w:p>
      <w:pPr>
        <w:numPr>
          <w:ilvl w:val="0"/>
          <w:numId w:val="1003"/>
        </w:numPr>
        <w:pStyle w:val="Compact"/>
      </w:pPr>
      <w:r>
        <w:t xml:space="preserve">The focus was on pedagogical philosophy changes and the impact of political instability on academic freedom.</w:t>
      </w:r>
    </w:p>
    <w:p>
      <w:pPr>
        <w:pStyle w:val="FirstParagraph"/>
      </w:pPr>
      <w:r>
        <w:rPr>
          <w:bCs/>
          <w:b/>
        </w:rPr>
        <w:t xml:space="preserve">Casual Observation:</w:t>
      </w:r>
    </w:p>
    <w:p>
      <w:pPr>
        <w:numPr>
          <w:ilvl w:val="0"/>
          <w:numId w:val="1004"/>
        </w:numPr>
        <w:pStyle w:val="Compact"/>
      </w:pPr>
      <w:r>
        <w:t xml:space="preserve">Parkside observations were conducted in lecture halls at the University of Yangon to analyze student-lecturer interaction patterns.</w:t>
      </w:r>
    </w:p>
    <w:bookmarkEnd w:id="26"/>
    <w:bookmarkEnd w:id="27"/>
    <w:bookmarkStart w:id="29" w:name="findings"/>
    <w:bookmarkStart w:id="28" w:name="key-findings"/>
    <w:p>
      <w:pPr>
        <w:pStyle w:val="Heading2"/>
      </w:pPr>
      <w:r>
        <w:t xml:space="preserve">Key Findings</w:t>
      </w:r>
    </w:p>
    <w:p>
      <w:pPr>
        <w:pStyle w:val="FirstParagraph"/>
      </w:pPr>
      <w:r>
        <w:rPr>
          <w:bCs/>
          <w:b/>
        </w:rPr>
        <w:t xml:space="preserve">The "Super-Worker" Syndrome:</w:t>
      </w:r>
    </w:p>
    <w:p>
      <w:pPr>
        <w:pStyle w:val="BodyText"/>
      </w:pPr>
      <w:r>
        <w:t xml:space="preserve">Data indicates that the average University Lecturer in Yangon spends 30-40 hours per week on direct teaching. This high contact hour requirement leaves little time for research or curriculum development. Unlike lecturers in Western universities who may have reduced teaching loads to focus on research, Myanmar academics often serve as the primary drivers of both pedagogy and institutional administration.</w:t>
      </w:r>
    </w:p>
    <w:p>
      <w:pPr>
        <w:pStyle w:val="BodyText"/>
      </w:pPr>
      <w:r>
        <w:rPr>
          <w:bCs/>
          <w:b/>
        </w:rPr>
        <w:t xml:space="preserve">Digital Divide and Resource Scarcity:</w:t>
      </w:r>
    </w:p>
    <w:p>
      <w:pPr>
        <w:pStyle w:val="BodyText"/>
      </w:pPr>
      <w:r>
        <w:t xml:space="preserve">A critical challenge identified is the "digital divide." While private universities in Yangon are investing in IT infrastructure, many public university staff struggle with intermittent internet connectivity. This limits their ability to access online journals or utilize Learning Management Systems (LMS), forcing them to rely on traditional print materials and face-to-face lecturing.</w:t>
      </w:r>
    </w:p>
    <w:p>
      <w:pPr>
        <w:pStyle w:val="BodyText"/>
      </w:pPr>
      <w:r>
        <w:rPr>
          <w:bCs/>
          <w:b/>
        </w:rPr>
        <w:t xml:space="preserve">Pedagogical Transition:</w:t>
      </w:r>
    </w:p>
    <w:p>
      <w:pPr>
        <w:pStyle w:val="BodyText"/>
      </w:pPr>
      <w:r>
        <w:t xml:space="preserve">Fewer than 15% of surveyed lecturers reported using active learning strategies regularly. The dominant mode remains the "banking model" of education, where knowledge is deposited from lecturer to student. However, there is a growing cohort of young academics in Yangon who are experimenting with flipped classrooms and project-based learning, often driven by pressure from international partner universities.</w:t>
      </w:r>
    </w:p>
    <w:bookmarkEnd w:id="28"/>
    <w:bookmarkEnd w:id="29"/>
    <w:bookmarkStart w:id="31" w:name="discussion"/>
    <w:bookmarkStart w:id="30" w:name="discussion-the-changing-identity"/>
    <w:p>
      <w:pPr>
        <w:pStyle w:val="Heading2"/>
      </w:pPr>
      <w:r>
        <w:t xml:space="preserve">Discussion: The Changing Identity</w:t>
      </w:r>
    </w:p>
    <w:p>
      <w:pPr>
        <w:pStyle w:val="FirstParagraph"/>
      </w:pPr>
      <w:r>
        <w:t xml:space="preserve">The data suggests a crisis of identity for the University Lecturer in Yangon. They are caught between:</w:t>
      </w:r>
    </w:p>
    <w:p>
      <w:pPr>
        <w:pStyle w:val="BodyText"/>
      </w:pPr>
      <w:r>
        <w:rPr>
          <w:bCs/>
          <w:b/>
        </w:rPr>
        <w:t xml:space="preserve">The Traditionalist Role:</w:t>
      </w:r>
    </w:p>
    <w:p>
      <w:pPr>
        <w:numPr>
          <w:ilvl w:val="0"/>
          <w:numId w:val="1005"/>
        </w:numPr>
        <w:pStyle w:val="Compact"/>
      </w:pPr>
      <w:r>
        <w:t xml:space="preserve">Maintaining respect and authority through hierarchical structures.</w:t>
      </w:r>
    </w:p>
    <w:p>
      <w:pPr>
        <w:numPr>
          <w:ilvl w:val="0"/>
          <w:numId w:val="1005"/>
        </w:numPr>
        <w:pStyle w:val="Compact"/>
      </w:pPr>
      <w:r>
        <w:t xml:space="preserve">Navigating bureaucratic red tape within public institutions.</w:t>
      </w:r>
    </w:p>
    <w:p>
      <w:pPr>
        <w:pStyle w:val="FirstParagraph"/>
      </w:pPr>
      <w:r>
        <w:rPr>
          <w:bCs/>
          <w:b/>
        </w:rPr>
        <w:t xml:space="preserve">The Modern Academic:</w:t>
      </w:r>
    </w:p>
    <w:p>
      <w:pPr>
        <w:numPr>
          <w:ilvl w:val="0"/>
          <w:numId w:val="1006"/>
        </w:numPr>
        <w:pStyle w:val="Compact"/>
      </w:pPr>
      <w:r>
        <w:t xml:space="preserve">Pursuing research impact and global citations.</w:t>
      </w:r>
    </w:p>
    <w:p>
      <w:pPr>
        <w:numPr>
          <w:ilvl w:val="0"/>
          <w:numId w:val="1006"/>
        </w:numPr>
        <w:pStyle w:val="Compact"/>
      </w:pPr>
      <w:r>
        <w:t xml:space="preserve">Fostering critical thinking in students rather than rote memorization.</w:t>
      </w:r>
    </w:p>
    <w:p>
      <w:pPr>
        <w:pStyle w:val="FirstParagraph"/>
      </w:pPr>
      <w:r>
        <w:rPr>
          <w:bCs/>
          <w:b/>
        </w:rPr>
        <w:t xml:space="preserve">The Political Dimension:</w:t>
      </w:r>
    </w:p>
    <w:p>
      <w:pPr>
        <w:pStyle w:val="BodyText"/>
      </w:pPr>
      <w:r>
        <w:t xml:space="preserve">The presentation also addresses the sensitive issue of political stability. Recent events in Myanmar have impacted university operations, leading to strikes, closures, and a brain drain of talented faculty members leaving for Thailand or Singapore. The remaining University Lecturers in Yangon face heightened psychological stress and uncertainty about their career longevity.</w:t>
      </w:r>
    </w:p>
    <w:bookmarkEnd w:id="30"/>
    <w:bookmarkEnd w:id="31"/>
    <w:bookmarkStart w:id="33" w:name="recommendations"/>
    <w:bookmarkStart w:id="32" w:name="recommendations-for-stakeholders"/>
    <w:p>
      <w:pPr>
        <w:pStyle w:val="Heading2"/>
      </w:pPr>
      <w:r>
        <w:t xml:space="preserve">Recommendations for Stakeholders</w:t>
      </w:r>
    </w:p>
    <w:p>
      <w:pPr>
        <w:pStyle w:val="FirstParagraph"/>
      </w:pPr>
      <w:r>
        <w:t xml:space="preserve">To support the University Lecturer in Myanmar (Yangon), we propose the following actionable strategies:</w:t>
      </w:r>
    </w:p>
    <w:p>
      <w:pPr>
        <w:pStyle w:val="BodyText"/>
      </w:pPr>
      <w:r>
        <w:rPr>
          <w:bCs/>
          <w:b/>
        </w:rPr>
        <w:t xml:space="preserve">For University Administration:</w:t>
      </w:r>
    </w:p>
    <w:p>
      <w:pPr>
        <w:pStyle w:val="BodyText"/>
      </w:pPr>
      <w:r>
        <w:rPr>
          <w:bCs/>
          <w:b/>
        </w:rPr>
        <w:t xml:space="preserve">Pedagogical Training:</w:t>
      </w:r>
    </w:p>
    <w:p>
      <w:pPr>
        <w:pStyle w:val="BodyText"/>
      </w:pPr>
      <w:r>
        <w:t xml:space="preserve">Implement mandatory, ongoing professional development workshops focused on active learning and digital literacy, tailored to the Myanmar context.</w:t>
      </w:r>
    </w:p>
    <w:p>
      <w:pPr>
        <w:pStyle w:val="BodyText"/>
      </w:pPr>
      <w:r>
        <w:t xml:space="preserve">.</w:t>
      </w:r>
    </w:p>
    <w:p>
      <w:pPr>
        <w:pStyle w:val="BodyText"/>
      </w:pPr>
      <w:r>
        <w:t xml:space="preserve">.</w:t>
      </w:r>
    </w:p>
    <w:p>
      <w:pPr>
        <w:pStyle w:val="BodyText"/>
      </w:pPr>
      <w:r>
        <w:rPr>
          <w:bCs/>
          <w:b/>
        </w:rPr>
        <w:t xml:space="preserve">Workload Reduction:</w:t>
      </w:r>
    </w:p>
    <w:p>
      <w:pPr>
        <w:pStyle w:val="BodyText"/>
      </w:pPr>
      <w:r>
        <w:t xml:space="preserve">Re-evaluate teaching loads to allow dedicated time for research and curriculum innovation.</w:t>
      </w:r>
    </w:p>
    <w:p>
      <w:pPr>
        <w:pStyle w:val="BodyText"/>
      </w:pPr>
      <w:r>
        <w:rPr>
          <w:bCs/>
          <w:b/>
        </w:rPr>
        <w:t xml:space="preserve">Mentorship Programs:</w:t>
      </w:r>
    </w:p>
    <w:p>
      <w:pPr>
        <w:pStyle w:val="BodyText"/>
      </w:pPr>
      <w:r>
        <w:t xml:space="preserve">.</w:t>
      </w:r>
    </w:p>
    <w:p>
      <w:pPr>
        <w:pStyle w:val="BodyText"/>
      </w:pPr>
      <w:r>
        <w:t xml:space="preserve">.</w:t>
      </w:r>
    </w:p>
    <w:p>
      <w:pPr>
        <w:pStyle w:val="BodyText"/>
      </w:pPr>
      <w:r>
        <w:rPr>
          <w:bCs/>
          <w:b/>
        </w:rPr>
        <w:t xml:space="preserve">For International Partners:</w:t>
      </w:r>
    </w:p>
    <w:p>
      <w:pPr>
        <w:pStyle w:val="BodyText"/>
      </w:pPr>
      <w:r>
        <w:t xml:space="preserve">.</w:t>
      </w:r>
    </w:p>
    <w:p>
      <w:pPr>
        <w:pStyle w:val="BodyText"/>
      </w:pPr>
      <w:r>
        <w:t xml:space="preserve">.</w:t>
      </w:r>
    </w:p>
    <w:p>
      <w:pPr>
        <w:pStyle w:val="BodyText"/>
      </w:pPr>
      <w:r>
        <w:rPr>
          <w:bCs/>
          <w:b/>
        </w:rPr>
        <w:t xml:space="preserve">Digital Infrastructure Support:</w:t>
      </w:r>
    </w:p>
    <w:p>
      <w:pPr>
        <w:pStyle w:val="BodyText"/>
      </w:pPr>
      <w:r>
        <w:t xml:space="preserve">Provide hardware (laptops, routers) and software licenses that can function offline or with low bandwidth.</w:t>
      </w:r>
    </w:p>
    <w:p>
      <w:pPr>
        <w:pStyle w:val="BodyText"/>
      </w:pPr>
      <w:r>
        <w:t xml:space="preserve">Funding Access:</w:t>
      </w:r>
    </w:p>
    <w:p>
      <w:pPr>
        <w:pStyle w:val="BodyText"/>
      </w:pPr>
      <w:r>
        <w:t xml:space="preserve">.</w:t>
      </w:r>
    </w:p>
    <w:p>
      <w:pPr>
        <w:pStyle w:val="BodyText"/>
      </w:pPr>
      <w:r>
        <w:t xml:space="preserve">.</w:t>
      </w:r>
    </w:p>
    <w:p>
      <w:pPr>
        <w:pStyle w:val="BodyText"/>
      </w:pPr>
      <w:r>
        <w:rPr>
          <w:bCs/>
          <w:b/>
        </w:rPr>
        <w:t xml:space="preserve">For Policy Makers:</w:t>
      </w:r>
    </w:p>
    <w:p>
      <w:pPr>
        <w:pStyle w:val="BodyText"/>
      </w:pPr>
      <w:r>
        <w:t xml:space="preserve">.</w:t>
      </w:r>
    </w:p>
    <w:p>
      <w:pPr>
        <w:pStyle w:val="BodyText"/>
      </w:pPr>
      <w:r>
        <w:t xml:space="preserve">.</w:t>
      </w:r>
    </w:p>
    <w:p>
      <w:pPr>
        <w:pStyle w:val="BodyText"/>
      </w:pPr>
      <w:r>
        <w:t xml:space="preserve">Academic Freedom:</w:t>
      </w:r>
    </w:p>
    <w:p>
      <w:pPr>
        <w:pStyle w:val="BodyText"/>
      </w:pPr>
      <w:r>
        <w:t xml:space="preserve">.</w:t>
      </w:r>
    </w:p>
    <w:p>
      <w:pPr>
        <w:pStyle w:val="BodyText"/>
      </w:pPr>
      <w:r>
        <w:t xml:space="preserve">.</w:t>
      </w:r>
    </w:p>
    <w:p>
      <w:pPr>
        <w:pStyle w:val="BodyText"/>
      </w:pPr>
      <w:r>
        <w:t xml:space="preserve">Research Grants:</w:t>
      </w:r>
    </w:p>
    <w:p>
      <w:pPr>
        <w:pStyle w:val="BodyText"/>
      </w:pPr>
      <w:r>
        <w:t xml:space="preserve">.</w:t>
      </w:r>
    </w:p>
    <w:p>
      <w:pPr>
        <w:pStyle w:val="BodyText"/>
      </w:pPr>
      <w:r>
        <w:t xml:space="preserve">.</w:t>
      </w:r>
    </w:p>
    <w:bookmarkEnd w:id="32"/>
    <w:bookmarkEnd w:id="33"/>
    <w:bookmarkStart w:id="35" w:name="references"/>
    <w:bookmarkStart w:id="34" w:name="references-further-reading"/>
    <w:p>
      <w:pPr>
        <w:pStyle w:val="Heading4"/>
      </w:pPr>
      <w:r>
        <w:t xml:space="preserve">References &amp; Further Reading</w:t>
      </w:r>
    </w:p>
    <w:p>
      <w:pPr>
        <w:pStyle w:val="FirstParagraph"/>
      </w:pPr>
      <w:r>
        <w:t xml:space="preserve">.</w:t>
      </w:r>
    </w:p>
    <w:p>
      <w:pPr>
        <w:pStyle w:val="BodyText"/>
      </w:pPr>
      <w:r>
        <w:t xml:space="preserve">.</w:t>
      </w:r>
    </w:p>
    <w:p>
      <w:pPr>
        <w:pStyle w:val="BodyText"/>
      </w:pPr>
      <w:r>
        <w:t xml:space="preserve">.</w:t>
      </w:r>
    </w:p>
    <w:p>
      <w:pPr>
        <w:pStyle w:val="BodyText"/>
      </w:pPr>
      <w:r>
        <w:t xml:space="preserve">Zaw, O., &amp; Smith, J. (2021). "The Impact of Political Instability on Academic Staff in Yangon." Asian Higher Education Review.Ministry of Education, Myanmar. (2018). "National Master Plan for Education." Yangon: Government Printing.</w:t>
      </w:r>
    </w:p>
    <w:p>
      <w:pPr>
        <w:pStyle w:val="BodyText"/>
      </w:pPr>
      <w:r>
        <w:t xml:space="preserve">.</w:t>
      </w:r>
    </w:p>
    <w:p>
      <w:pPr>
        <w:pStyle w:val="BodyText"/>
      </w:pPr>
      <w:r>
        <w:t xml:space="preserve">.</w:t>
      </w:r>
    </w:p>
    <w:p>
      <w:pPr>
        <w:pStyle w:val="BodyText"/>
      </w:pPr>
      <w:r>
        <w:t xml:space="preserve">.</w:t>
      </w:r>
    </w:p>
    <w:p>
      <w:pPr>
        <w:pStyle w:val="BodyText"/>
      </w:pPr>
      <w:r>
        <w:t xml:space="preserve">World Bank. (2020). "Myanmar Economic Monitor: The Role of Higher Education in Recovery." Washington DC.</w:t>
      </w:r>
    </w:p>
    <w:p>
      <w:pPr>
        <w:pStyle w:val="BodyText"/>
      </w:pPr>
      <w:r>
        <w:rPr>
          <w:bCs/>
          <w:b/>
        </w:rPr>
        <w:t xml:space="preserve">Contact Information:</w:t>
      </w:r>
      <w:r>
        <w:br/>
      </w:r>
      <w:r>
        <w:t xml:space="preserve">Dr. Aye Chan</w:t>
      </w:r>
      <w:r>
        <w:br/>
      </w:r>
      <w:r>
        <w:t xml:space="preserve">Department of Educational Studies</w:t>
      </w:r>
      <w:r>
        <w:br/>
      </w:r>
      <w:r>
        <w:t xml:space="preserve">Email: aye.chan@academia.edu | Phone: +95 1 234-5678</w:t>
      </w:r>
      <w:r>
        <w:br/>
      </w:r>
    </w:p>
    <w:p>
      <w:pPr>
        <w:pStyle w:val="BodyText"/>
      </w:pPr>
      <w:r>
        <w:t xml:space="preserve">Presentation prepared for the International Symposium on Asian Higher Education, Yangon.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University Lecturing in Yangon, Myanmar</dc:title>
  <dc:creator/>
  <dc:language>en</dc:language>
  <cp:keywords/>
  <dcterms:created xsi:type="dcterms:W3CDTF">2026-07-29T07:00:47Z</dcterms:created>
  <dcterms:modified xsi:type="dcterms:W3CDTF">2026-07-29T07:00:47Z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