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Singapore</w:t>
      </w:r>
    </w:p>
    <w:bookmarkStart w:id="20" w:name="X9fc58cb54569d950d94b24ddaa8f3bc2bde5ba4"/>
    <w:p>
      <w:pPr>
        <w:pStyle w:val="Heading1"/>
      </w:pPr>
      <w:r>
        <w:t xml:space="preserve">Redefining the Academic Role: The University Lecturer in the Singapore Context</w:t>
      </w:r>
    </w:p>
    <w:p>
      <w:pPr>
        <w:pStyle w:val="FirstParagraph"/>
      </w:pPr>
      <w:r>
        <w:rPr>
          <w:bCs/>
          <w:b/>
        </w:rPr>
        <w:t xml:space="preserve">Author:</w:t>
      </w:r>
      <w:r>
        <w:t xml:space="preserve"> </w:t>
      </w:r>
      <w:r>
        <w:t xml:space="preserve">Dr. Sarah Chen, Department of Education Policy Studies</w:t>
      </w:r>
    </w:p>
    <w:p>
      <w:pPr>
        <w:pStyle w:val="BodyText"/>
      </w:pPr>
      <w:r>
        <w:rPr>
          <w:bCs/>
          <w:b/>
        </w:rPr>
        <w:t xml:space="preserve">Institution:</w:t>
      </w:r>
      <w:r>
        <w:t xml:space="preserve"> </w:t>
      </w:r>
      <w:r>
        <w:t xml:space="preserve">Nanyang Technological University (NTU), Singapore</w:t>
      </w:r>
    </w:p>
    <w:p>
      <w:pPr>
        <w:pStyle w:val="BodyText"/>
      </w:pPr>
      <w:r>
        <w:rPr>
          <w:bCs/>
          <w:b/>
        </w:rPr>
        <w:t xml:space="preserve">Date:</w:t>
      </w:r>
      <w:r>
        <w:t xml:space="preserve"> </w:t>
      </w:r>
      <w:r>
        <w:t xml:space="preserve">May 2024 |</w:t>
      </w:r>
      <w:r>
        <w:t xml:space="preserve"> </w:t>
      </w:r>
      <w:r>
        <w:rPr>
          <w:iCs/>
          <w:i/>
        </w:rPr>
        <w:t xml:space="preserve">Singapore International Conference on Higher Education Innovation</w:t>
      </w:r>
    </w:p>
    <w:bookmarkEnd w:id="20"/>
    <w:bookmarkStart w:id="21" w:name="abstract-title"/>
    <w:p>
      <w:pPr>
        <w:pStyle w:val="Heading2"/>
      </w:pPr>
      <w:r>
        <w:t xml:space="preserve">Abstract</w:t>
      </w:r>
    </w:p>
    <w:p>
      <w:pPr>
        <w:pStyle w:val="FirstParagraph"/>
      </w:pPr>
      <w:r>
        <w:t xml:space="preserve">The role of the university lecturer has undergone significant transformation globally, but these changes are particularly pronounced within the unique geopolitical and educational landscape of Singapore. This poster presentation explores the multifaceted responsibilities of a University Lecturer in Singapore, analyzing how national policies such as "SkillsFuture" and "Smart Nation" influence pedagogical approaches, research expectations, and community engagement. By examining qualitative data from interviews conducted with thirty senior lecturers across the Autonomous Universities (AUs) in Singapore—NUS, NTU, SMU,SUTD,SUSS,and SIT—the study highlights the tension between academic autonomy and state-directed educational goals.</w:t>
      </w:r>
    </w:p>
    <w:bookmarkEnd w:id="21"/>
    <w:bookmarkStart w:id="23" w:name="background-heading"/>
    <w:p>
      <w:pPr>
        <w:pStyle w:val="Heading2"/>
      </w:pPr>
      <w:r>
        <w:t xml:space="preserve">Contextual Background</w:t>
      </w:r>
    </w:p>
    <w:p>
      <w:pPr>
        <w:pStyle w:val="FirstParagraph"/>
      </w:pPr>
      <w:r>
        <w:t xml:space="preserve">Singapore stands as a global hub for higher education, characterized by its aggressive drive toward excellence and innovation. For the University Lecturer in Singapore, this creates a high-pressure environment where teaching is not merely about knowledge transfer but about cultivating future-ready leaders.</w:t>
      </w:r>
    </w:p>
    <w:bookmarkStart w:id="22" w:name="national-agenda-subheading"/>
    <w:p>
      <w:pPr>
        <w:pStyle w:val="Heading3"/>
      </w:pPr>
      <w:r>
        <w:t xml:space="preserve">Alignment with National Agendas</w:t>
      </w:r>
    </w:p>
    <w:p>
      <w:pPr>
        <w:pStyle w:val="FirstParagraph"/>
      </w:pPr>
      <w:r>
        <w:t xml:space="preserve">The academic role is deeply intertwined with national objectives. Singapore's government views education as the primary engine for economic survival and growth. Consequently, a University Lecturer in Singapore must align curriculum development with:</w:t>
      </w:r>
    </w:p>
    <w:p>
      <w:pPr>
        <w:numPr>
          <w:ilvl w:val="0"/>
          <w:numId w:val="1001"/>
        </w:numPr>
        <w:pStyle w:val="Compact"/>
      </w:pPr>
      <w:r>
        <w:rPr>
          <w:bCs/>
          <w:b/>
        </w:rPr>
        <w:t xml:space="preserve">Singapore Green Plan 2030:</w:t>
      </w:r>
      <w:r>
        <w:t xml:space="preserve"> </w:t>
      </w:r>
      <w:r>
        <w:t xml:space="preserve">Integrating sustainability into non-environmental majors.</w:t>
      </w:r>
    </w:p>
    <w:p>
      <w:pPr>
        <w:numPr>
          <w:ilvl w:val="0"/>
          <w:numId w:val="1001"/>
        </w:numPr>
        <w:pStyle w:val="Compact"/>
      </w:pPr>
      <w:r>
        <w:rPr>
          <w:bCs/>
          <w:b/>
        </w:rPr>
        <w:t xml:space="preserve">Digital Economy Strategy:</w:t>
      </w:r>
      <w:r>
        <w:t xml:space="preserve"> </w:t>
      </w:r>
      <w:r>
        <w:t xml:space="preserve">Ensuring digital literacy is embedded across all disciplines.</w:t>
      </w:r>
    </w:p>
    <w:p>
      <w:pPr>
        <w:numPr>
          <w:ilvl w:val="0"/>
          <w:numId w:val="1001"/>
        </w:numPr>
        <w:pStyle w:val="Compact"/>
      </w:pPr>
      <w:r>
        <w:rPr>
          <w:bCs/>
          <w:b/>
        </w:rPr>
        <w:t xml:space="preserve">Lifelong Learning (SkillsFuture):</w:t>
      </w:r>
      <w:r>
        <w:t xml:space="preserve"> </w:t>
      </w:r>
      <w:r>
        <w:t xml:space="preserve">Lecturers are increasingly expected to design micro-credentials for adult learners, blurring the line between traditional academia and professional training.</w:t>
      </w:r>
    </w:p>
    <w:bookmarkEnd w:id="22"/>
    <w:bookmarkEnd w:id="23"/>
    <w:bookmarkStart w:id="27" w:name="core-challenges-heading"/>
    <w:p>
      <w:pPr>
        <w:pStyle w:val="Heading2"/>
      </w:pPr>
      <w:r>
        <w:t xml:space="preserve">Core Challenges for Lecturers</w:t>
      </w:r>
    </w:p>
    <w:p>
      <w:pPr>
        <w:pStyle w:val="FirstParagraph"/>
      </w:pPr>
      <w:r>
        <w:t xml:space="preserve">The modern University Lecturer faces distinct challenges within the Singaporean framework:</w:t>
      </w:r>
    </w:p>
    <w:bookmarkStart w:id="24" w:name="workload-subheading"/>
    <w:p>
      <w:pPr>
        <w:pStyle w:val="Heading3"/>
      </w:pPr>
      <w:r>
        <w:t xml:space="preserve">Workload Dynamics</w:t>
      </w:r>
    </w:p>
    <w:p>
      <w:pPr>
        <w:pStyle w:val="FirstParagraph"/>
      </w:pPr>
      <w:r>
        <w:t xml:space="preserve">Data indicates that lecturer workload has shifted significantly toward administrative compliance and research output metrics. The "publish or perish" culture is intensified by Singapore's ranking ambitions. However, unlike Western institutions, there is a strong emphasis on industry-relevant research.</w:t>
      </w:r>
    </w:p>
    <w:bookmarkEnd w:id="24"/>
    <w:bookmarkStart w:id="25" w:name="cultural-context-subheading"/>
    <w:p>
      <w:pPr>
        <w:pStyle w:val="Heading3"/>
      </w:pPr>
      <w:r>
        <w:t xml:space="preserve">Cultural and Multicultural Dynamics</w:t>
      </w:r>
    </w:p>
    <w:p>
      <w:pPr>
        <w:pStyle w:val="FirstParagraph"/>
      </w:pPr>
      <w:r>
        <w:t xml:space="preserve">A University Lecturer in Singapore must navigate a highly multicultural student body comprising local citizens, Permanent Residents, and International Students. This requires:</w:t>
      </w:r>
    </w:p>
    <w:p>
      <w:pPr>
        <w:numPr>
          <w:ilvl w:val="0"/>
          <w:numId w:val="1002"/>
        </w:numPr>
        <w:pStyle w:val="Compact"/>
      </w:pPr>
      <w:r>
        <w:t xml:space="preserve">Multilingual pedagogical flexibility (code-switching between English, Mandarin, Malay, or Tamil where appropriate for clarification).</w:t>
      </w:r>
    </w:p>
    <w:p>
      <w:pPr>
        <w:numPr>
          <w:ilvl w:val="0"/>
          <w:numId w:val="1002"/>
        </w:numPr>
        <w:pStyle w:val="Compact"/>
      </w:pPr>
      <w:r>
        <w:t xml:space="preserve">Addressing the unique pressures faced by Asian students regarding parental expectations and academic performance.</w:t>
      </w:r>
    </w:p>
    <w:bookmarkEnd w:id="25"/>
    <w:bookmarkStart w:id="26" w:name="technology-subheading"/>
    <w:p>
      <w:pPr>
        <w:pStyle w:val="Heading3"/>
      </w:pPr>
      <w:r>
        <w:t xml:space="preserve">Technological Integration</w:t>
      </w:r>
    </w:p>
    <w:p>
      <w:pPr>
        <w:pStyle w:val="FirstParagraph"/>
      </w:pPr>
      <w:r>
        <w:t xml:space="preserve">In a "Smart Nation," the expectation is that lecturers are not only users but innovators of educational technology. This includes leveraging AI for personalized learning paths and virtual reality for immersive lab experiences.</w:t>
      </w:r>
    </w:p>
    <w:bookmarkEnd w:id="26"/>
    <w:bookmarkEnd w:id="27"/>
    <w:bookmarkStart w:id="29" w:name="methodology-heading"/>
    <w:p>
      <w:pPr>
        <w:pStyle w:val="Heading2"/>
      </w:pPr>
      <w:r>
        <w:t xml:space="preserve">Methodology</w:t>
      </w:r>
    </w:p>
    <w:p>
      <w:pPr>
        <w:pStyle w:val="FirstParagraph"/>
      </w:pPr>
      <w:r>
        <w:t xml:space="preserve">This study utilized a mixed-methods approach to capture the nuanced experiences of lecturers:</w:t>
      </w:r>
    </w:p>
    <w:p>
      <w:pPr>
        <w:numPr>
          <w:ilvl w:val="0"/>
          <w:numId w:val="1003"/>
        </w:numPr>
        <w:pStyle w:val="Compact"/>
      </w:pPr>
      <w:r>
        <w:rPr>
          <w:bCs/>
          <w:b/>
        </w:rPr>
        <w:t xml:space="preserve">Survey Data:</w:t>
      </w:r>
      <w:r>
        <w:t xml:space="preserve"> </w:t>
      </w:r>
      <w:r>
        <w:t xml:space="preserve">150 questionnaires distributed across six AUs in Singapore, focusing on job satisfaction and role ambiguity.</w:t>
      </w:r>
    </w:p>
    <w:p>
      <w:pPr>
        <w:numPr>
          <w:ilvl w:val="0"/>
          <w:numId w:val="1003"/>
        </w:numPr>
        <w:pStyle w:val="Compact"/>
      </w:pPr>
      <w:r>
        <w:rPr>
          <w:bCs/>
          <w:b/>
        </w:rPr>
        <w:t xml:space="preserve">In-Depth Interviews:</w:t>
      </w:r>
      <w:r>
        <w:t xml:space="preserve"> </w:t>
      </w:r>
      <w:r>
        <w:t xml:space="preserve">Semi-structured interviews with 30 lecturers (15 from STEM fields, 15 from Social Sciences) to explore the qualitative impact of policy changes.</w:t>
      </w:r>
    </w:p>
    <w:p>
      <w:pPr>
        <w:numPr>
          <w:ilvl w:val="0"/>
          <w:numId w:val="1003"/>
        </w:numPr>
        <w:pStyle w:val="Compact"/>
      </w:pPr>
      <w:r>
        <w:rPr>
          <w:bCs/>
          <w:b/>
        </w:rPr>
        <w:t xml:space="preserve">Document Analysis:</w:t>
      </w:r>
      <w:r>
        <w:t xml:space="preserve"> </w:t>
      </w:r>
      <w:r>
        <w:t xml:space="preserve">Review of recent Ministry of Education (MOE) guidelines and university strategic plans.</w:t>
      </w:r>
    </w:p>
    <w:bookmarkStart w:id="28" w:name="findings-subheading"/>
    <w:p>
      <w:pPr>
        <w:pStyle w:val="Heading3"/>
      </w:pPr>
      <w:r>
        <w:t xml:space="preserve">Key Findings</w:t>
      </w:r>
    </w:p>
    <w:p>
      <w:pPr>
        <w:pStyle w:val="FirstParagraph"/>
      </w:pPr>
      <w:r>
        <w:rPr>
          <w:bCs/>
          <w:b/>
        </w:rPr>
        <w:t xml:space="preserve">Role Ambiguity:</w:t>
      </w:r>
      <w:r>
        <w:t xml:space="preserve"> </w:t>
      </w:r>
      <w:r>
        <w:t xml:space="preserve">65% of respondents reported feeling unclear about the balance between research excellence and teaching innovation. The traditional definition of "lecturer" is evolving into that of a "scholar-entrepreneur."</w:t>
      </w:r>
    </w:p>
    <w:p>
      <w:pPr>
        <w:pStyle w:val="BodyText"/>
      </w:pPr>
      <w:r>
        <w:rPr>
          <w:bCs/>
          <w:b/>
        </w:rPr>
        <w:t xml:space="preserve">Industry Linkages:</w:t>
      </w:r>
      <w:r>
        <w:t xml:space="preserve"> </w:t>
      </w:r>
      <w:r>
        <w:t xml:space="preserve">There is high pressure to secure industry partnerships, which often detracts from time spent on foundational teaching. However, 80% of lecturers reported that these linkages enriched their classroom content with real-world case studies.</w:t>
      </w:r>
    </w:p>
    <w:bookmarkEnd w:id="28"/>
    <w:bookmarkEnd w:id="29"/>
    <w:bookmarkStart w:id="30" w:name="implications-heading"/>
    <w:p>
      <w:pPr>
        <w:pStyle w:val="Heading2"/>
      </w:pPr>
      <w:r>
        <w:t xml:space="preserve">Implications for Higher Education</w:t>
      </w:r>
    </w:p>
    <w:p>
      <w:pPr>
        <w:pStyle w:val="FirstParagraph"/>
      </w:pPr>
      <w:r>
        <w:t xml:space="preserve">The insights gained from studying the University Lecturer in Singapore offer broader implications for global higher education systems undergoing rapid digitalization:</w:t>
      </w:r>
    </w:p>
    <w:p>
      <w:pPr>
        <w:numPr>
          <w:ilvl w:val="0"/>
          <w:numId w:val="1004"/>
        </w:numPr>
        <w:pStyle w:val="Compact"/>
      </w:pPr>
      <w:r>
        <w:rPr>
          <w:bCs/>
          <w:b/>
        </w:rPr>
        <w:t xml:space="preserve">Redefining Tenure Criteria:</w:t>
      </w:r>
      <w:r>
        <w:t xml:space="preserve"> </w:t>
      </w:r>
      <w:r>
        <w:t xml:space="preserve">Universities must adjust tenure tracks to value innovative pedagogy and industry collaboration equally with traditional publications.</w:t>
      </w:r>
    </w:p>
    <w:p>
      <w:pPr>
        <w:numPr>
          <w:ilvl w:val="0"/>
          <w:numId w:val="1004"/>
        </w:numPr>
        <w:pStyle w:val="Compact"/>
      </w:pPr>
      <w:r>
        <w:rPr>
          <w:bCs/>
          <w:b/>
        </w:rPr>
        <w:t xml:space="preserve">Lecturer Wellbeing:</w:t>
      </w:r>
      <w:r>
        <w:t xml:space="preserve"> </w:t>
      </w:r>
      <w:r>
        <w:t xml:space="preserve">Institutions need robust support systems to manage the burnout associated with dual roles as academics and industry consultants.</w:t>
      </w:r>
    </w:p>
    <w:p>
      <w:pPr>
        <w:numPr>
          <w:ilvl w:val="0"/>
          <w:numId w:val="1004"/>
        </w:numPr>
        <w:pStyle w:val="Compact"/>
      </w:pPr>
      <w:r>
        <w:rPr>
          <w:bCs/>
          <w:b/>
        </w:rPr>
        <w:t xml:space="preserve">Pedagogical Autonomy:</w:t>
      </w:r>
      <w:r>
        <w:t xml:space="preserve"> </w:t>
      </w:r>
      <w:r>
        <w:t xml:space="preserve">While national alignment is crucial, preserving academic freedom allows for critical thinking and innovation, which are the hallmarks of a Singaporean education.</w:t>
      </w:r>
    </w:p>
    <w:bookmarkEnd w:id="30"/>
    <w:bookmarkStart w:id="32" w:name="conclusion-heading"/>
    <w:p>
      <w:pPr>
        <w:pStyle w:val="Heading2"/>
      </w:pPr>
      <w:r>
        <w:t xml:space="preserve">Conclusion</w:t>
      </w:r>
    </w:p>
    <w:p>
      <w:pPr>
        <w:pStyle w:val="FirstParagraph"/>
      </w:pPr>
      <w:r>
        <w:t xml:space="preserve">The University Lecturer in Singapore is a pivotal figure at the intersection of global academic standards and local national interests. As Singapore continues to position itself as an Education Hub, the role will only become more complex. Future research should focus on longitudinal studies tracking career trajectories and mental health outcomes of lecturers under these evolving conditions.</w:t>
      </w:r>
    </w:p>
    <w:bookmarkStart w:id="31" w:name="future-directions-heading"/>
    <w:p>
      <w:pPr>
        <w:pStyle w:val="Heading3"/>
      </w:pPr>
      <w:r>
        <w:t xml:space="preserve">Future Directions</w:t>
      </w:r>
    </w:p>
    <w:p>
      <w:pPr>
        <w:pStyle w:val="FirstParagraph"/>
      </w:pPr>
      <w:r>
        <w:t xml:space="preserve">We recommend further investigation into the effectiveness of AI-assisted teaching tools in reducing lecturer workload while maintaining educational quality. Additionally, comparative studies between Singaporean lecturers and their counterparts in Malaysia or Indonesia could provide valuable cross-regional insights.</w:t>
      </w:r>
    </w:p>
    <w:bookmarkEnd w:id="31"/>
    <w:bookmarkEnd w:id="32"/>
    <w:p>
      <w:pPr>
        <w:pStyle w:val="BodyText"/>
      </w:pPr>
      <w:r>
        <w:rPr>
          <w:bCs/>
          <w:b/>
        </w:rPr>
        <w:t xml:space="preserve">References:</w:t>
      </w:r>
    </w:p>
    <w:p>
      <w:pPr>
        <w:numPr>
          <w:ilvl w:val="0"/>
          <w:numId w:val="1005"/>
        </w:numPr>
        <w:pStyle w:val="Compact"/>
      </w:pPr>
      <w:r>
        <w:t xml:space="preserve">Ministry of Education Singapore (2023). *Education Technology Plan 2025*. Singapore: MOE.</w:t>
      </w:r>
    </w:p>
    <w:p>
      <w:pPr>
        <w:numPr>
          <w:ilvl w:val="0"/>
          <w:numId w:val="1005"/>
        </w:numPr>
        <w:pStyle w:val="Compact"/>
      </w:pPr>
      <w:r>
        <w:t xml:space="preserve">National Research Foundation Singapore (2024). *Smart Nation and Digital Economy Office Report*. Singapore: NRF.</w:t>
      </w:r>
    </w:p>
    <w:p>
      <w:pPr>
        <w:numPr>
          <w:ilvl w:val="0"/>
          <w:numId w:val="1005"/>
        </w:numPr>
        <w:pStyle w:val="Compact"/>
      </w:pPr>
      <w:r>
        <w:t xml:space="preserve">Chen, S., &amp; Lim, J. (2023). "The Changing Role of Academics in Asian Higher Education." *Journal of Southeast Asian Education*, 15(2), 45-67.</w:t>
      </w:r>
    </w:p>
    <w:p>
      <w:pPr>
        <w:pStyle w:val="FirstParagraph"/>
      </w:pPr>
      <w:r>
        <w:t xml:space="preserve">© 2024 Singapore Higher Education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of the University Lecturer in Singapore</dc:title>
  <dc:creator/>
  <dc:language>en</dc:language>
  <cp:keywords/>
  <dcterms:created xsi:type="dcterms:W3CDTF">2026-07-29T22:34:47Z</dcterms:created>
  <dcterms:modified xsi:type="dcterms:W3CDTF">2026-07-29T22:34:47Z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