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European</w:t>
      </w:r>
      <w:r>
        <w:t xml:space="preserve"> </w:t>
      </w:r>
      <w:r>
        <w:t xml:space="preserve">Capital</w:t>
      </w:r>
    </w:p>
    <w:bookmarkStart w:id="30" w:name="X93a1952eb052cf0005a9c2716e2b0fdc8e21211"/>
    <w:p>
      <w:pPr>
        <w:pStyle w:val="Heading1"/>
      </w:pPr>
      <w:r>
        <w:t xml:space="preserve">Bridging Digital and Physical in the European Capital</w:t>
      </w:r>
    </w:p>
    <w:p>
      <w:pPr>
        <w:pStyle w:val="FirstParagraph"/>
      </w:pPr>
      <w:r>
        <w:rPr>
          <w:bCs/>
          <w:b/>
        </w:rPr>
        <w:t xml:space="preserve">A Poster Presentation on UX/UI Design Strategy in Belgium Brussels</w:t>
      </w:r>
      <w:r>
        <w:br/>
      </w:r>
      <w:r>
        <w:t xml:space="preserve">Context: Academic Conference on Human-Computer Interaction &amp; Urban Tech</w:t>
      </w:r>
      <w:r>
        <w:br/>
      </w:r>
      <w:r>
        <w:t xml:space="preserve">Location: Brussels, Belgium</w:t>
      </w:r>
      <w:r>
        <w:br/>
      </w:r>
      <w:r>
        <w:t xml:space="preserve">Language: English (International Standard)</w:t>
      </w:r>
    </w:p>
    <w:bookmarkStart w:id="20" w:name="overview"/>
    <w:p>
      <w:pPr>
        <w:pStyle w:val="Heading2"/>
      </w:pPr>
      <w:r>
        <w:t xml:space="preserve">Overview and Introduction to the UX/UI Designer Role</w:t>
      </w:r>
    </w:p>
    <w:p>
      <w:pPr>
        <w:pStyle w:val="FirstParagraph"/>
      </w:pPr>
      <w:r>
        <w:t xml:space="preserve">In the rapidly evolving landscape of digital interaction, the role of a</w:t>
      </w:r>
      <w:r>
        <w:t xml:space="preserve"> </w:t>
      </w:r>
      <w:r>
        <w:rPr>
          <w:bCs/>
          <w:b/>
        </w:rPr>
        <w:t xml:space="preserve">UX/UI Designer</w:t>
      </w:r>
      <w:r>
        <w:t xml:space="preserve"> </w:t>
      </w:r>
      <w:r>
        <w:t xml:space="preserve">has transcended simple aesthetics to become a critical architectural element of modern organizational success. This academic poster presentation explores the nuanced responsibilities, methodologies, and strategic impacts associated with User Experience (UX) and User Interface (UI) design.</w:t>
      </w:r>
    </w:p>
    <w:p>
      <w:pPr>
        <w:pStyle w:val="BodyText"/>
      </w:pPr>
      <w:r>
        <w:t xml:space="preserve">The primary objective of this document is to delineate how professional designers navigate the complex intersection of human psychology, technological capability, and business goals. By focusing on a high-level academic perspective, we examine how</w:t>
      </w:r>
      <w:r>
        <w:t xml:space="preserve"> </w:t>
      </w:r>
      <w:r>
        <w:rPr>
          <w:bCs/>
          <w:b/>
        </w:rPr>
        <w:t xml:space="preserve">UX UI Designer</w:t>
      </w:r>
      <w:r>
        <w:t xml:space="preserve"> </w:t>
      </w:r>
      <w:r>
        <w:t xml:space="preserve">practices are not merely about creating visually appealing screens but about crafting comprehensive ecosystems where users can achieve their goals efficiently and enjoyably.</w:t>
      </w:r>
    </w:p>
    <w:bookmarkEnd w:id="20"/>
    <w:bookmarkStart w:id="21" w:name="methodology"/>
    <w:p>
      <w:pPr>
        <w:pStyle w:val="Heading2"/>
      </w:pPr>
      <w:r>
        <w:t xml:space="preserve">Methodological Frameworks in Design Research</w:t>
      </w:r>
    </w:p>
    <w:p>
      <w:pPr>
        <w:pStyle w:val="FirstParagraph"/>
      </w:pPr>
      <w:r>
        <w:t xml:space="preserve">To understand the depth of the design profession, one must first appreciate the rigorous methodologies employed by professionals. In this context, we analyze two distinct but intertwined disciplines:</w:t>
      </w:r>
    </w:p>
    <w:p>
      <w:pPr>
        <w:numPr>
          <w:ilvl w:val="0"/>
          <w:numId w:val="1001"/>
        </w:numPr>
        <w:pStyle w:val="Compact"/>
      </w:pPr>
      <w:r>
        <w:rPr>
          <w:bCs/>
          <w:b/>
        </w:rPr>
        <w:t xml:space="preserve">User Experience (UX) Research:</w:t>
      </w:r>
      <w:r>
        <w:t xml:space="preserve">UX UI Designer, this data-driven approach ensures that design decisions are rooted in real human needs rather than assumptions.</w:t>
      </w:r>
    </w:p>
    <w:p>
      <w:pPr>
        <w:numPr>
          <w:ilvl w:val="0"/>
          <w:numId w:val="1001"/>
        </w:numPr>
        <w:pStyle w:val="Compact"/>
      </w:pPr>
      <w:r>
        <w:rPr>
          <w:bCs/>
          <w:b/>
        </w:rPr>
        <w:t xml:space="preserve">User Interface (UI) Design:</w:t>
      </w:r>
      <w:r>
        <w:t xml:space="preserve">UX UI Designer must possess a keen eye for detail to ensure that the interface communicates intuitively with the user.</w:t>
      </w:r>
    </w:p>
    <w:p>
      <w:pPr>
        <w:pStyle w:val="FirstParagraph"/>
      </w:pPr>
      <w:r>
        <w:t xml:space="preserve">This dual approach requires a holistic mindset. A designer cannot effectively craft an interface without understanding the underlying experience, nor can they design a seamless experience without translating it into tangible visual elements. This integration is central to our academic discussion on modern design paradigms.</w:t>
      </w:r>
    </w:p>
    <w:bookmarkEnd w:id="21"/>
    <w:bookmarkStart w:id="23" w:name="geographic-context"/>
    <w:p>
      <w:pPr>
        <w:pStyle w:val="Heading2"/>
      </w:pPr>
      <w:r>
        <w:t xml:space="preserve">The Geographic Context: Belgium Brussels</w:t>
      </w:r>
    </w:p>
    <w:p>
      <w:pPr>
        <w:pStyle w:val="FirstParagraph"/>
      </w:pPr>
      <w:r>
        <w:t xml:space="preserve">The specific geographic and political context of this study is pivotal. We focus exclusively on</w:t>
      </w:r>
      <w:r>
        <w:t xml:space="preserve"> </w:t>
      </w:r>
      <w:r>
        <w:rPr>
          <w:bCs/>
          <w:b/>
        </w:rPr>
        <w:t xml:space="preserve">Belgium Brussels</w:t>
      </w:r>
      <w:r>
        <w:t xml:space="preserve">, a city that serves as the de facto capital of the European Union. This unique status creates an unparalleled environment for design innovation and research.</w:t>
      </w:r>
    </w:p>
    <w:bookmarkStart w:id="22" w:name="the-unique-ecosystem-of-brussels-design"/>
    <w:p>
      <w:pPr>
        <w:pStyle w:val="Heading3"/>
      </w:pPr>
      <w:r>
        <w:t xml:space="preserve">The Unique Ecosystem of Brussels Design</w:t>
      </w:r>
    </w:p>
    <w:p>
      <w:pPr>
        <w:pStyle w:val="FirstParagraph"/>
      </w:pPr>
      <w:r>
        <w:rPr>
          <w:bCs/>
          <w:b/>
        </w:rPr>
        <w:t xml:space="preserve">Belgium Brussels</w:t>
      </w:r>
      <w:r>
        <w:t xml:space="preserve"> </w:t>
      </w:r>
      <w:r>
        <w:t xml:space="preserve">is home to thousands of international institutions, lobbying firms, tech startups, and governmental bodies. Consequently, the demand for high-level digital services in this region is distinct from other global hubs like San Francisco or London. In</w:t>
      </w:r>
      <w:r>
        <w:t xml:space="preserve"> </w:t>
      </w:r>
      <w:r>
        <w:rPr>
          <w:bCs/>
          <w:b/>
        </w:rPr>
        <w:t xml:space="preserve">Belgium Brussels</w:t>
      </w:r>
      <w:r>
        <w:t xml:space="preserve">, the complexity of design requirements is heightened by:</w:t>
      </w:r>
    </w:p>
    <w:p>
      <w:pPr>
        <w:numPr>
          <w:ilvl w:val="0"/>
          <w:numId w:val="1002"/>
        </w:numPr>
        <w:pStyle w:val="Compact"/>
      </w:pPr>
      <w:r>
        <w:rPr>
          <w:bCs/>
          <w:b/>
        </w:rPr>
        <w:t xml:space="preserve">Multilingualism:</w:t>
      </w:r>
      <w:r>
        <w:t xml:space="preserve">UX UI Designer in this region must often account for trilingual interfaces (French, Dutch, and English). This presents unique challenges in layout flexibility, character width expansion, and cultural nuance.</w:t>
      </w:r>
    </w:p>
    <w:p>
      <w:pPr>
        <w:numPr>
          <w:ilvl w:val="0"/>
          <w:numId w:val="1002"/>
        </w:numPr>
        <w:pStyle w:val="Compact"/>
      </w:pPr>
      <w:r>
        <w:rPr>
          <w:bCs/>
          <w:b/>
        </w:rPr>
        <w:t xml:space="preserve">Institutional Accessibility:</w:t>
      </w:r>
      <w:r>
        <w:t xml:space="preserve">Belgium Brussels, there is a stringent requirement for adherence to accessibility standards (such as WCAG). The design must be inclusive for users with disabilities, requiring rigorous testing protocols.</w:t>
      </w:r>
    </w:p>
    <w:p>
      <w:pPr>
        <w:numPr>
          <w:ilvl w:val="0"/>
          <w:numId w:val="1002"/>
        </w:numPr>
        <w:pStyle w:val="Compact"/>
      </w:pPr>
      <w:r>
        <w:rPr>
          <w:bCs/>
          <w:b/>
        </w:rPr>
        <w:t xml:space="preserve">Bureaucratic Complexity:</w:t>
      </w:r>
      <w:r>
        <w:t xml:space="preserve">UX UI Designer in this ecosystem acts as a translator, simplifying dense regulatory information for citizens and businesses.</w:t>
      </w:r>
    </w:p>
    <w:bookmarkEnd w:id="22"/>
    <w:bookmarkEnd w:id="23"/>
    <w:bookmarkStart w:id="24" w:name="challenges"/>
    <w:p>
      <w:pPr>
        <w:pStyle w:val="Heading2"/>
      </w:pPr>
      <w:r>
        <w:t xml:space="preserve">Challenges and Opportunities in the European Context</w:t>
      </w:r>
    </w:p>
    <w:p>
      <w:pPr>
        <w:pStyle w:val="FirstParagraph"/>
      </w:pPr>
      <w:r>
        <w:t xml:space="preserve">The academic discourse surrounding design in Europe, specifically within</w:t>
      </w:r>
      <w:r>
        <w:t xml:space="preserve"> </w:t>
      </w:r>
      <w:r>
        <w:rPr>
          <w:bCs/>
          <w:b/>
        </w:rPr>
        <w:t xml:space="preserve">Belgium Brussels</w:t>
      </w:r>
      <w:r>
        <w:t xml:space="preserve">, highlights several critical challenges. First is the issue of data sovereignty and privacy. With GDPR (General Data Protection Regulation) being a cornerstone of European law, every pixel placed by a</w:t>
      </w:r>
      <w:r>
        <w:t xml:space="preserve"> </w:t>
      </w:r>
      <w:r>
        <w:rPr>
          <w:bCs/>
          <w:b/>
        </w:rPr>
        <w:t xml:space="preserve">UX UI Designer</w:t>
      </w:r>
      <w:r>
        <w:t xml:space="preserve"> </w:t>
      </w:r>
      <w:r>
        <w:t xml:space="preserve">must respect user consent and data minimization principles.</w:t>
      </w:r>
    </w:p>
    <w:p>
      <w:pPr>
        <w:pStyle w:val="BodyText"/>
      </w:pPr>
      <w:r>
        <w:t xml:space="preserve">Furthermore, the multicultural nature of</w:t>
      </w:r>
      <w:r>
        <w:t xml:space="preserve"> </w:t>
      </w:r>
      <w:r>
        <w:rPr>
          <w:bCs/>
          <w:b/>
        </w:rPr>
        <w:t xml:space="preserve">Belgium Brussels</w:t>
      </w:r>
      <w:r>
        <w:t xml:space="preserve">'s workforce means that design teams are often diverse. This diversity is an asset but requires intentional management. Cultural bias in iconography or color symbolism can lead to usability issues if not carefully vetted by a team that understands the local context. Therefore, the role of the</w:t>
      </w:r>
      <w:r>
        <w:t xml:space="preserve"> </w:t>
      </w:r>
      <w:r>
        <w:rPr>
          <w:bCs/>
          <w:b/>
        </w:rPr>
        <w:t xml:space="preserve">UX UI Designer</w:t>
      </w:r>
      <w:r>
        <w:t xml:space="preserve"> </w:t>
      </w:r>
      <w:r>
        <w:t xml:space="preserve">extends into cross-cultural communication and stakeholder management.</w:t>
      </w:r>
    </w:p>
    <w:bookmarkEnd w:id="24"/>
    <w:bookmarkStart w:id="27" w:name="case-studies"/>
    <w:p>
      <w:pPr>
        <w:pStyle w:val="Heading2"/>
      </w:pPr>
      <w:r>
        <w:t xml:space="preserve">Case Studies in Digital Transformation</w:t>
      </w:r>
    </w:p>
    <w:p>
      <w:pPr>
        <w:pStyle w:val="FirstParagraph"/>
      </w:pPr>
      <w:r>
        <w:t xml:space="preserve">To illustrate these points, we present two hypothetical but representative case studies reflecting current trends in the region:</w:t>
      </w:r>
    </w:p>
    <w:bookmarkStart w:id="25" w:name="Xf89667c4e8e95632e81321d2995088354bb5b93"/>
    <w:p>
      <w:pPr>
        <w:pStyle w:val="Heading3"/>
      </w:pPr>
      <w:r>
        <w:t xml:space="preserve">Case Study 1: E-Government Portal Optimization</w:t>
      </w:r>
    </w:p>
    <w:p>
      <w:pPr>
        <w:pStyle w:val="FirstParagraph"/>
      </w:pPr>
      <w:r>
        <w:t xml:space="preserve">A major initiative in the region involves simplifying tax filing for freelancers. The initial system was criticized for high abandonment rates. By employing UX research methods, designers identified that legal jargon was the primary barrier. The UI redesign focused on progressive disclosure—revealing information only when necessary—and using plain language interfaces. This project demonstrates how</w:t>
      </w:r>
      <w:r>
        <w:t xml:space="preserve"> </w:t>
      </w:r>
      <w:r>
        <w:rPr>
          <w:bCs/>
          <w:b/>
        </w:rPr>
        <w:t xml:space="preserve">UX UI Designer</w:t>
      </w:r>
      <w:r>
        <w:t xml:space="preserve"> </w:t>
      </w:r>
      <w:r>
        <w:t xml:space="preserve">interventions directly impact civic engagement.</w:t>
      </w:r>
    </w:p>
    <w:bookmarkEnd w:id="25"/>
    <w:bookmarkStart w:id="26" w:name="case-study-2-cross-border-logistics-app"/>
    <w:p>
      <w:pPr>
        <w:pStyle w:val="Heading3"/>
      </w:pPr>
      <w:r>
        <w:t xml:space="preserve">Case Study 2: Cross-Border Logistics App</w:t>
      </w:r>
    </w:p>
    <w:p>
      <w:pPr>
        <w:pStyle w:val="FirstParagraph"/>
      </w:pPr>
      <w:r>
        <w:t xml:space="preserve">In the context of supply chain logistics, a startup based in the industrial zones near Brussels developed an app for drivers crossing borders. The design team had to create a robust offline mode (due to spotty signal at borders) and a high-contrast UI for use in bright sunlight and low-light truck cabs. This highlights how technical constraints drive creative</w:t>
      </w:r>
      <w:r>
        <w:t xml:space="preserve"> </w:t>
      </w:r>
      <w:r>
        <w:rPr>
          <w:bCs/>
          <w:b/>
        </w:rPr>
        <w:t xml:space="preserve">UX UI Designer</w:t>
      </w:r>
      <w:r>
        <w:t xml:space="preserve"> </w:t>
      </w:r>
      <w:r>
        <w:t xml:space="preserve">solutions.</w:t>
      </w:r>
    </w:p>
    <w:bookmarkEnd w:id="26"/>
    <w:bookmarkEnd w:id="27"/>
    <w:bookmarkStart w:id="28" w:name="future"/>
    <w:p>
      <w:pPr>
        <w:pStyle w:val="Heading2"/>
      </w:pPr>
      <w:r>
        <w:t xml:space="preserve">Future Directions and Conclusion</w:t>
      </w:r>
    </w:p>
    <w:p>
      <w:pPr>
        <w:pStyle w:val="FirstParagraph"/>
      </w:pPr>
      <w:r>
        <w:t xml:space="preserve">The future of design in the European Capital is tied to emerging technologies such as Artificial Intelligence (AI) and Voice User Interfaces (VUI). As algorithms begin to generate content, the role of the human designer shifts toward curation and ethical oversight. In</w:t>
      </w:r>
      <w:r>
        <w:t xml:space="preserve"> </w:t>
      </w:r>
      <w:r>
        <w:rPr>
          <w:bCs/>
          <w:b/>
        </w:rPr>
        <w:t xml:space="preserve">Belgium Brussels</w:t>
      </w:r>
      <w:r>
        <w:t xml:space="preserve">, this ethical dimension is particularly prominent due to the regulatory power of EU institutions.</w:t>
      </w:r>
    </w:p>
    <w:p>
      <w:pPr>
        <w:pStyle w:val="BodyText"/>
      </w:pPr>
      <w:r>
        <w:t xml:space="preserve">In conclusion, this poster presentation affirms that the profession of a</w:t>
      </w:r>
      <w:r>
        <w:t xml:space="preserve"> </w:t>
      </w:r>
      <w:r>
        <w:rPr>
          <w:bCs/>
          <w:b/>
        </w:rPr>
        <w:t xml:space="preserve">UX UI Designer</w:t>
      </w:r>
      <w:r>
        <w:t xml:space="preserve"> </w:t>
      </w:r>
      <w:r>
        <w:t xml:space="preserve">is both an art and a science, deeply embedded in its local context. In</w:t>
      </w:r>
      <w:r>
        <w:t xml:space="preserve"> </w:t>
      </w:r>
      <w:r>
        <w:rPr>
          <w:bCs/>
          <w:b/>
        </w:rPr>
        <w:t xml:space="preserve">Belgium Brussels</w:t>
      </w:r>
      <w:r>
        <w:t xml:space="preserve">, designers face unique challenges related to language, regulation, and complexity. However, these challenges also offer opportunities for innovation that can serve as models for the rest of Europe.</w:t>
      </w:r>
    </w:p>
    <w:p>
      <w:pPr>
        <w:pStyle w:val="BodyText"/>
      </w:pPr>
      <w:r>
        <w:t xml:space="preserve">We encourage further academic inquiry into how localized design practices can inform global standards. The synergy between rigorous research methods and empathetic design remains the cornerstone of successful digital products in our increasingly connected world.</w:t>
      </w:r>
    </w:p>
    <w:bookmarkEnd w:id="28"/>
    <w:bookmarkStart w:id="29" w:name="references"/>
    <w:p>
      <w:pPr>
        <w:pStyle w:val="Heading2"/>
      </w:pPr>
      <w:r>
        <w:t xml:space="preserve">References &amp; Further Reading</w:t>
      </w:r>
    </w:p>
    <w:p>
      <w:pPr>
        <w:numPr>
          <w:ilvl w:val="0"/>
          <w:numId w:val="1003"/>
        </w:numPr>
        <w:pStyle w:val="Compact"/>
      </w:pPr>
      <w:r>
        <w:t xml:space="preserve">Sheridan, P. (2014).</w:t>
      </w:r>
      <w:r>
        <w:t xml:space="preserve"> </w:t>
      </w:r>
      <w:r>
        <w:rPr>
          <w:iCs/>
          <w:i/>
        </w:rPr>
        <w:t xml:space="preserve">Web and Usability in the European Context.</w:t>
      </w:r>
    </w:p>
    <w:p>
      <w:pPr>
        <w:numPr>
          <w:ilvl w:val="0"/>
          <w:numId w:val="1003"/>
        </w:numPr>
        <w:pStyle w:val="Compact"/>
      </w:pPr>
      <w:r>
        <w:t xml:space="preserve">GDPR Compliance Guidelines for Interface Designers.</w:t>
      </w:r>
    </w:p>
    <w:p>
      <w:pPr>
        <w:numPr>
          <w:ilvl w:val="0"/>
          <w:numId w:val="1003"/>
        </w:numPr>
        <w:pStyle w:val="Compact"/>
      </w:pPr>
      <w:r>
        <w:t xml:space="preserve">Aalbers, G., et al. (2019). "Multilingual Design Patterns in EU Institutions." Journal of Web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the European Capital</dc:title>
  <dc:creator/>
  <dc:language>en</dc:language>
  <cp:keywords/>
  <dcterms:created xsi:type="dcterms:W3CDTF">2026-07-29T13:45:01Z</dcterms:created>
  <dcterms:modified xsi:type="dcterms:W3CDTF">2026-07-29T13:45:01Z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