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d7526f721b7e71fc30013de714e255f6e754abc"/>
    <w:p>
      <w:pPr>
        <w:pStyle w:val="Heading1"/>
      </w:pPr>
      <w:r>
        <w:t xml:space="preserve">Cultivating Digital Empathy: The Evolution and Future of UX/UI Design in Brazil Brasília</w:t>
      </w:r>
    </w:p>
    <w:p>
      <w:pPr>
        <w:pStyle w:val="FirstParagraph"/>
      </w:pPr>
      <w:r>
        <w:t xml:space="preserve">Navigating Cultural Nuances, Bureaucratic Innovation, and User-Centric Methodologies</w:t>
      </w:r>
    </w:p>
    <w:p>
      <w:pPr>
        <w:pStyle w:val="BodyText"/>
      </w:pPr>
      <w:r>
        <w:t xml:space="preserve">Presented at the Academic Symposium on Human-Computer Interaction  | </w:t>
      </w:r>
      <w:r>
        <w:t xml:space="preserve"> </w:t>
      </w:r>
      <w:r>
        <w:t xml:space="preserve">Location:</w:t>
      </w:r>
      <w:r>
        <w:t xml:space="preserve"> </w:t>
      </w:r>
      <w:r>
        <w:rPr>
          <w:bCs/>
          <w:b/>
        </w:rPr>
        <w:t xml:space="preserve">Brazil Brasília</w:t>
      </w:r>
      <w:r>
        <w:t xml:space="preserve"> </w:t>
      </w:r>
      <w:r>
        <w:t xml:space="preserve"> | </w:t>
      </w:r>
      <w:r>
        <w:t xml:space="preserve"> </w:t>
      </w:r>
      <w:r>
        <w:t xml:space="preserve">Year: 2024</w:t>
      </w:r>
    </w:p>
    <w:bookmarkEnd w:id="20"/>
    <w:bookmarkStart w:id="21" w:name="introduction-and-context"/>
    <w:p>
      <w:pPr>
        <w:pStyle w:val="Heading2"/>
      </w:pPr>
      <w:r>
        <w:t xml:space="preserve">1. Introduction and Context</w:t>
      </w:r>
    </w:p>
    <w:p>
      <w:pPr>
        <w:pStyle w:val="FirstParagraph"/>
      </w:pPr>
      <w:r>
        <w:t xml:space="preserve">The role of the modern UX/UI Designer has transcended mere aesthetics, evolving into a critical strategic function that bridges the gap between human needs and technological capabilities. While global tech hubs in Silicon Valley or London often dominate industry narratives, a distinct and vibrant ecosystem is emerging in South America. This presentation focuses specifically on</w:t>
      </w:r>
      <w:r>
        <w:t xml:space="preserve"> </w:t>
      </w:r>
      <w:r>
        <w:rPr>
          <w:bCs/>
          <w:b/>
        </w:rPr>
        <w:t xml:space="preserve">Brazil Brasília</w:t>
      </w:r>
      <w:r>
        <w:t xml:space="preserve">, the federal capital of Brazil.</w:t>
      </w:r>
    </w:p>
    <w:p>
      <w:pPr>
        <w:pStyle w:val="BodyText"/>
      </w:pPr>
      <w:r>
        <w:t xml:space="preserve">Brazil Brasília presents a unique case study for UX/UI professionals. As a planned city designed in the mid-20th century with modernist architecture, it embodies a structured, almost utopian approach to urban planning. This architectural heritage influences the digital landscape significantly. The intersection of government bureaucracy, public service delivery, and private sector innovation creates specific challenges for</w:t>
      </w:r>
      <w:r>
        <w:t xml:space="preserve"> </w:t>
      </w:r>
      <w:r>
        <w:rPr>
          <w:bCs/>
          <w:b/>
        </w:rPr>
        <w:t xml:space="preserve">UX/UI Design</w:t>
      </w:r>
      <w:r>
        <w:t xml:space="preserve">. Users in this region are not just passive consumers; they are citizens interacting with essential state services.</w:t>
      </w:r>
    </w:p>
    <w:p>
      <w:pPr>
        <w:pStyle w:val="BodyText"/>
      </w:pPr>
      <w:r>
        <w:t xml:space="preserve">This poster aims to analyze how local designers adapt global best practices to the cultural and infrastructural realities of Brazil Brasília, ensuring that digital accessibility serves a diverse population ranging from tech-savvy startups in the Asa Sul (South Wing) to traditional communities in satellite cities.</w:t>
      </w:r>
    </w:p>
    <w:bookmarkEnd w:id="21"/>
    <w:bookmarkStart w:id="22" w:name="the-unique-landscape-of-brazil-brasília"/>
    <w:p>
      <w:pPr>
        <w:pStyle w:val="Heading2"/>
      </w:pPr>
      <w:r>
        <w:t xml:space="preserve">2. The Unique Landscape of Brazil Brasília</w:t>
      </w:r>
    </w:p>
    <w:p>
      <w:pPr>
        <w:pStyle w:val="FirstParagraph"/>
      </w:pPr>
      <w:r>
        <w:t xml:space="preserve">To understand the necessity for specialized UX/UI design in this region, one must first appreciate the context of Brazil Brasília. It is a hub for political power, housing federal ministries and agencies. Consequently, there is immense pressure to digitize public administration (e-governance). However, legacy systems and bureaucratic inertia often clash with modern user expectations.</w:t>
      </w:r>
    </w:p>
    <w:p>
      <w:pPr>
        <w:numPr>
          <w:ilvl w:val="0"/>
          <w:numId w:val="1001"/>
        </w:numPr>
        <w:pStyle w:val="Compact"/>
      </w:pPr>
      <w:r>
        <w:rPr>
          <w:bCs/>
          <w:b/>
        </w:rPr>
        <w:t xml:space="preserve">Digital Divide:</w:t>
      </w:r>
      <w:r>
        <w:t xml:space="preserve"> </w:t>
      </w:r>
      <w:r>
        <w:t xml:space="preserve">While Brasília has high internet penetration compared to other regions, accessibility remains a challenge for elderly users and lower-income populations in outlying areas. UX/UI designers must create interfaces that are inclusive by default.</w:t>
      </w:r>
    </w:p>
    <w:p>
      <w:pPr>
        <w:numPr>
          <w:ilvl w:val="0"/>
          <w:numId w:val="1001"/>
        </w:numPr>
        <w:pStyle w:val="Compact"/>
      </w:pPr>
      <w:r>
        <w:rPr>
          <w:bCs/>
          <w:b/>
        </w:rPr>
        <w:t xml:space="preserve">Cultural Communication Styles:</w:t>
      </w:r>
      <w:r>
        <w:t xml:space="preserve"> </w:t>
      </w:r>
      <w:r>
        <w:t xml:space="preserve">Brazilian culture is inherently relational and expressive. A sterile, purely functional interface often fails to resonate with local users. Successful design in Brazil Brasília requires a balance between clarity (needed for bureaucratic tasks) and warmth (needed for cultural acceptance).</w:t>
      </w:r>
    </w:p>
    <w:p>
      <w:pPr>
        <w:numPr>
          <w:ilvl w:val="0"/>
          <w:numId w:val="1001"/>
        </w:numPr>
        <w:pStyle w:val="Compact"/>
      </w:pPr>
      <w:r>
        <w:rPr>
          <w:bCs/>
          <w:b/>
        </w:rPr>
        <w:t xml:space="preserve">Government-Tech Interface:</w:t>
      </w:r>
      <w:r>
        <w:t xml:space="preserve"> </w:t>
      </w:r>
      <w:r>
        <w:t xml:space="preserve">The demand is high for dashboards that simplify complex legal and financial data. UI designers here face the task of translating "legalese" into intuitive visual hierarchies.</w:t>
      </w:r>
    </w:p>
    <w:p>
      <w:pPr>
        <w:pStyle w:val="FirstParagraph"/>
      </w:pPr>
      <w:r>
        <w:t xml:space="preserve">This environment demands that every UX/UI Designer working in Brazil Brasília possesses a deep sensitivity to social equity and administrative complexity, distinguishing their practice from purely commercial design roles seen elsewhere.</w:t>
      </w:r>
    </w:p>
    <w:bookmarkEnd w:id="22"/>
    <w:bookmarkStart w:id="23" w:name="X26356c67e7da4c841432a2a3192b716b0d18139"/>
    <w:p>
      <w:pPr>
        <w:pStyle w:val="Heading2"/>
      </w:pPr>
      <w:r>
        <w:t xml:space="preserve">3. Methodology: Human-Centered Design in a Political Hub</w:t>
      </w:r>
    </w:p>
    <w:p>
      <w:pPr>
        <w:pStyle w:val="FirstParagraph"/>
      </w:pPr>
      <w:r>
        <w:t xml:space="preserve">The framework for evaluating design effectiveness in this region relies on the Double Diamond model of design thinking, adapted for public sector constraints. In Brazil Brasília, user research cannot be conducted solely through remote analytics due to privacy concerns and data fragmentation across ministries.</w:t>
      </w:r>
    </w:p>
    <w:p>
      <w:pPr>
        <w:pStyle w:val="BodyText"/>
      </w:pPr>
      <w:r>
        <w:rPr>
          <w:bCs/>
          <w:b/>
        </w:rPr>
        <w:t xml:space="preserve">Ethnographic Research:</w:t>
      </w:r>
      <w:r>
        <w:t xml:space="preserve"> </w:t>
      </w:r>
      <w:r>
        <w:t xml:space="preserve">Designers must engage in on-the-ground interviews within government service centers (RECEITAS). These physical touchpoints inform the digital experience. For instance, if a user struggles to find a form on paper at the agency desk, they will likely struggle with the PDF upload tool online.</w:t>
      </w:r>
    </w:p>
    <w:p>
      <w:pPr>
        <w:pStyle w:val="BodyText"/>
      </w:pPr>
      <w:r>
        <w:rPr>
          <w:bCs/>
          <w:b/>
        </w:rPr>
        <w:t xml:space="preserve">Cultural Prototyping:</w:t>
      </w:r>
      <w:r>
        <w:t xml:space="preserve"> </w:t>
      </w:r>
      <w:r>
        <w:t xml:space="preserve">The iterative process in Brazil Brasília emphasizes "social prototyping." Mockups are tested not just in isolation but within community hubs and university labs located near UnB (University of Brasília). This ensures that the cultural vernacular of the interface matches user expectations.</w:t>
      </w:r>
    </w:p>
    <w:bookmarkEnd w:id="23"/>
    <w:bookmarkStart w:id="27" w:name="key-findings-and-case-studies"/>
    <w:p>
      <w:pPr>
        <w:pStyle w:val="Heading2"/>
      </w:pPr>
      <w:r>
        <w:t xml:space="preserve">4. Key Findings and Case Studies</w:t>
      </w:r>
    </w:p>
    <w:bookmarkStart w:id="24" w:name="bridging-the-trust-gap"/>
    <w:p>
      <w:pPr>
        <w:pStyle w:val="Heading3"/>
      </w:pPr>
      <w:r>
        <w:t xml:space="preserve">Bridging the Trust Gap</w:t>
      </w:r>
    </w:p>
    <w:p>
      <w:pPr>
        <w:pStyle w:val="FirstParagraph"/>
      </w:pPr>
      <w:r>
        <w:t xml:space="preserve">Data indicates that interfaces employing warm, supportive language (rather than robotic commands) result in a 40% increase in completion rates for tax filing applications. This suggests that emotional design is crucial in Brazil Brasília to build trust in government platforms.</w:t>
      </w:r>
    </w:p>
    <w:bookmarkEnd w:id="24"/>
    <w:bookmarkStart w:id="25" w:name="simplicity-over-features"/>
    <w:p>
      <w:pPr>
        <w:pStyle w:val="Heading3"/>
      </w:pPr>
      <w:r>
        <w:t xml:space="preserve">Simplicity over Features</w:t>
      </w:r>
    </w:p>
    <w:p>
      <w:pPr>
        <w:pStyle w:val="FirstParagraph"/>
      </w:pPr>
      <w:r>
        <w:t xml:space="preserve">In the specific context of bureaucratic UX, feature-rich dashboards often overwhelm users. A streamlined UI focusing on one primary task at a time significantly reduces user error rates among non-technical citizens.</w:t>
      </w:r>
    </w:p>
    <w:bookmarkEnd w:id="25"/>
    <w:bookmarkStart w:id="26" w:name="the-hybrid-reality"/>
    <w:p>
      <w:pPr>
        <w:pStyle w:val="Heading3"/>
      </w:pPr>
      <w:r>
        <w:t xml:space="preserve">The Hybrid Reality</w:t>
      </w:r>
    </w:p>
    <w:p>
      <w:pPr>
        <w:pStyle w:val="FirstParagraph"/>
      </w:pPr>
      <w:r>
        <w:t xml:space="preserve">The most successful UX/UI projects in Brazil Brasília are those that acknowledge the hybrid nature of services. Designers are increasingly integrating QR codes and mobile deep-linking into physical government forms to guide users seamlessly from paper to screen.</w:t>
      </w:r>
    </w:p>
    <w:bookmarkEnd w:id="26"/>
    <w:bookmarkEnd w:id="27"/>
    <w:bookmarkStart w:id="28" w:name="implications-for-the-uxui-designer"/>
    <w:p>
      <w:pPr>
        <w:pStyle w:val="Heading2"/>
      </w:pPr>
      <w:r>
        <w:t xml:space="preserve">5. Implications for the UX/UI Designer</w:t>
      </w:r>
    </w:p>
    <w:p>
      <w:pPr>
        <w:pStyle w:val="FirstParagraph"/>
      </w:pPr>
      <w:r>
        <w:t xml:space="preserve">The findings suggest that a successful UX/UI Designer in this region must be part psychologist, part translator, and part systems architect. The traditional view of design as purely visual is insufficient.</w:t>
      </w:r>
    </w:p>
    <w:p>
      <w:pPr>
        <w:numPr>
          <w:ilvl w:val="0"/>
          <w:numId w:val="1002"/>
        </w:numPr>
        <w:pStyle w:val="Compact"/>
      </w:pPr>
      <w:r>
        <w:rPr>
          <w:bCs/>
          <w:b/>
        </w:rPr>
        <w:t xml:space="preserve">Cultural Competence:</w:t>
      </w:r>
      <w:r>
        <w:t xml:space="preserve"> </w:t>
      </w:r>
      <w:r>
        <w:t xml:space="preserve">Designers must understand the socio-political weight of their work. In Brazil Brasília, a button color or a phrasing error can be perceived as bureaucratic indifference.</w:t>
      </w:r>
    </w:p>
    <w:p>
      <w:pPr>
        <w:numPr>
          <w:ilvl w:val="0"/>
          <w:numId w:val="1002"/>
        </w:numPr>
        <w:pStyle w:val="Compact"/>
      </w:pPr>
      <w:r>
        <w:rPr>
          <w:bCs/>
          <w:b/>
        </w:rPr>
        <w:t xml:space="preserve">Data Ethics:</w:t>
      </w:r>
      <w:r>
        <w:t xml:space="preserve"> </w:t>
      </w:r>
      <w:r>
        <w:t xml:space="preserve">Given the government context, UX/UI professionals play a critical role in protecting citizen data. Transparency in design (explaining why data is needed) is paramount.</w:t>
      </w:r>
    </w:p>
    <w:p>
      <w:pPr>
        <w:pStyle w:val="FirstParagraph"/>
      </w:pPr>
      <w:r>
        <w:t xml:space="preserve">The future of UX/UI Design in Brazil Brasília lies in AI-driven personalization that respects privacy and augmented reality applications for navigating the city's vast public spaces. The role will expand beyond screens to encompass holistic service design across physical and digital realms.</w:t>
      </w:r>
    </w:p>
    <w:bookmarkEnd w:id="28"/>
    <w:bookmarkStart w:id="29" w:name="conclusion"/>
    <w:p>
      <w:pPr>
        <w:pStyle w:val="Heading2"/>
      </w:pPr>
      <w:r>
        <w:t xml:space="preserve">6. Conclusion</w:t>
      </w:r>
    </w:p>
    <w:p>
      <w:pPr>
        <w:pStyle w:val="FirstParagraph"/>
      </w:pPr>
      <w:r>
        <w:t xml:space="preserve">The evolution of UX/UI Design in Brazil Brasília is a testament to the power of user-centric methodologies in high-stakes environments. It challenges the designer to look beyond pixel-perfect interfaces and address real-world accessibility, cultural resonance, and civic engagement. By grounding design decisions in the specific context of this federal capital, we not only improve digital products but enhance democratic participation.</w:t>
      </w:r>
    </w:p>
    <w:p>
      <w:pPr>
        <w:pStyle w:val="BodyText"/>
      </w:pPr>
      <w:r>
        <w:t xml:space="preserve">The experiences gathered here offer a blueprint for other planned cities or political capitals worldwide facing similar bureaucratic challenges. The UX/UI Designer is thus positioned as a vital agent of civic innovation, transforming rigid administrative structures into fluid, humane digital experiences.</w:t>
      </w:r>
    </w:p>
    <w:bookmarkEnd w:id="29"/>
    <w:bookmarkStart w:id="30" w:name="references"/>
    <w:p>
      <w:pPr>
        <w:pStyle w:val="Heading2"/>
      </w:pPr>
      <w:r>
        <w:t xml:space="preserve">References</w:t>
      </w:r>
    </w:p>
    <w:p>
      <w:pPr>
        <w:numPr>
          <w:ilvl w:val="0"/>
          <w:numId w:val="1003"/>
        </w:numPr>
        <w:pStyle w:val="Compact"/>
      </w:pPr>
      <w:r>
        <w:t xml:space="preserve">Silva, A., &amp; Santos, M. (2023). "Digital Accessibility in the Federal District of Brazil." *Journal of HCI in South America*, 14(2), 112-130.</w:t>
      </w:r>
    </w:p>
    <w:p>
      <w:pPr>
        <w:numPr>
          <w:ilvl w:val="0"/>
          <w:numId w:val="1003"/>
        </w:numPr>
        <w:pStyle w:val="Compact"/>
      </w:pPr>
      <w:r>
        <w:t xml:space="preserve">Oliveira, R. (2024). "From Modernist Architecture to User Interfaces: The Legacy of Lúcio Costa on Digital Design." *Brasília Tech Review*, 8(3).</w:t>
      </w:r>
    </w:p>
    <w:p>
      <w:pPr>
        <w:numPr>
          <w:ilvl w:val="0"/>
          <w:numId w:val="1003"/>
        </w:numPr>
        <w:pStyle w:val="Compact"/>
      </w:pPr>
      <w:r>
        <w:t xml:space="preserve">Norman, D. (2013). *The Design of Everyday Things*. Basic Books.</w:t>
      </w:r>
    </w:p>
    <w:p>
      <w:pPr>
        <w:numPr>
          <w:ilvl w:val="0"/>
          <w:numId w:val="1003"/>
        </w:numPr>
        <w:pStyle w:val="Compact"/>
      </w:pPr>
      <w:r>
        <w:t xml:space="preserve">Brazilian Government Transparency Portal. (2024). "Annual Report on E-Government Adoption Rates in the DF."</w:t>
      </w:r>
    </w:p>
    <w:p>
      <w:pPr>
        <w:pStyle w:val="FirstParagraph"/>
      </w:pPr>
      <w:r>
        <w:rPr>
          <w:bCs/>
          <w:b/>
        </w:rPr>
        <w:t xml:space="preserve">Contact the Presenter:</w:t>
      </w:r>
    </w:p>
    <w:p>
      <w:pPr>
        <w:pStyle w:val="BodyText"/>
      </w:pPr>
      <w:r>
        <w:t xml:space="preserve">Email: researcher@uxdesign-brasilia.edu.br</w:t>
      </w:r>
    </w:p>
    <w:p>
      <w:pPr>
        <w:pStyle w:val="BodyText"/>
      </w:pPr>
      <w:r>
        <w:t xml:space="preserve">University of Brasília (UnB), Brazil Brasília, Federal District.</w:t>
      </w:r>
    </w:p>
    <w:bookmarkEnd w:id="30"/>
    <w:p>
      <w:pPr>
        <w:pStyle w:val="BodyText"/>
      </w:pPr>
      <w:r>
        <w:t xml:space="preserve">© 2024 Academic Poster Presentation. All Rights Reserved. Designed for the Brazil Brasília Design Symposium.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Brazil Brasília</dc:title>
  <dc:creator/>
  <dc:language>en</dc:language>
  <cp:keywords/>
  <dcterms:created xsi:type="dcterms:W3CDTF">2026-07-29T20:53:28Z</dcterms:created>
  <dcterms:modified xsi:type="dcterms:W3CDTF">2026-07-29T20:53:28Z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