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e11b512c1f55e955f538cafdd300ae6b42692b7"/>
    <w:p>
      <w:pPr>
        <w:pStyle w:val="Heading1"/>
      </w:pPr>
      <w:r>
        <w:t xml:space="preserve">Bridging Digital Divide and Cultural Identity</w:t>
      </w:r>
    </w:p>
    <w:bookmarkStart w:id="20" w:name="X0aa549698a5d9f89871b1e0b5e1d46bce2e57f7"/>
    <w:p>
      <w:pPr>
        <w:pStyle w:val="Heading2"/>
      </w:pPr>
      <w:r>
        <w:t xml:space="preserve">A Strategic Framework for UX/UI Design Excellence in Iraq Baghdad</w:t>
      </w:r>
    </w:p>
    <w:bookmarkEnd w:id="20"/>
    <w:bookmarkEnd w:id="21"/>
    <w:bookmarkStart w:id="22" w:name="abstract"/>
    <w:p>
      <w:pPr>
        <w:pStyle w:val="Heading3"/>
      </w:pPr>
      <w:r>
        <w:t xml:space="preserve">Abstract</w:t>
      </w:r>
    </w:p>
    <w:p>
      <w:pPr>
        <w:pStyle w:val="FirstParagraph"/>
      </w:pPr>
      <w:r>
        <w:t xml:space="preserve">The rapid digital transformation of the Middle East presents a unique opportunity for Iraq, particularly its capital, Baghdad. However, the adoption of User Experience (UX) and User Interface (UI) design principles in this region faces distinct challenges related to infrastructure literacy, cultural nuances, and linguistic diversity. This poster presentation outlines a comprehensive study on adapting global UX/UI best practices to the local context of</w:t>
      </w:r>
      <w:r>
        <w:t xml:space="preserve"> </w:t>
      </w:r>
      <w:r>
        <w:rPr>
          <w:bCs/>
          <w:b/>
        </w:rPr>
        <w:t xml:space="preserve">Iraq Baghdad</w:t>
      </w:r>
      <w:r>
        <w:t xml:space="preserve">. By analyzing user behaviors specific to the region, we propose a localized design framework that enhances accessibility for digital services in government, education, and commerce. The study argues that effective</w:t>
      </w:r>
      <w:r>
        <w:t xml:space="preserve"> </w:t>
      </w:r>
      <w:r>
        <w:rPr>
          <w:bCs/>
          <w:b/>
        </w:rPr>
        <w:t xml:space="preserve">UX UI Designer</w:t>
      </w:r>
      <w:r>
        <w:t xml:space="preserve"> </w:t>
      </w:r>
      <w:r>
        <w:t xml:space="preserve">interventions in this market must go beyond aesthetics to address fundamental usability issues stemming from varying levels of digital literacy and the dominance of Arabic script in interface construction.</w:t>
      </w:r>
    </w:p>
    <w:bookmarkEnd w:id="22"/>
    <w:bookmarkStart w:id="23" w:name="introduction"/>
    <w:p>
      <w:pPr>
        <w:pStyle w:val="Heading3"/>
      </w:pPr>
      <w:r>
        <w:t xml:space="preserve">Introduction</w:t>
      </w:r>
    </w:p>
    <w:p>
      <w:pPr>
        <w:pStyle w:val="FirstParagraph"/>
      </w:pPr>
      <w:r>
        <w:t xml:space="preserve">In recent years, the technology sector in Baghdad has experienced a surge in growth, driven by a young, tech-savvy population and increasing internet penetration. Despite this growth, there remains a significant gap between the potential of digital services and their actual user adoption rates. This disconnect is often attributed to interfaces that do not resonate with local users' expectations or fail to accommodate the specific technical constraints prevalent in</w:t>
      </w:r>
      <w:r>
        <w:t xml:space="preserve"> </w:t>
      </w:r>
      <w:r>
        <w:rPr>
          <w:bCs/>
          <w:b/>
        </w:rPr>
        <w:t xml:space="preserve">Iraq Baghdad</w:t>
      </w:r>
      <w:r>
        <w:t xml:space="preserve">.</w:t>
      </w:r>
    </w:p>
    <w:p>
      <w:pPr>
        <w:pStyle w:val="BodyText"/>
      </w:pPr>
      <w:r>
        <w:t xml:space="preserve">The role of a professional</w:t>
      </w:r>
      <w:r>
        <w:t xml:space="preserve"> </w:t>
      </w:r>
      <w:r>
        <w:rPr>
          <w:bCs/>
          <w:b/>
        </w:rPr>
        <w:t xml:space="preserve">UX UI Designer</w:t>
      </w:r>
      <w:r>
        <w:t xml:space="preserve"> </w:t>
      </w:r>
      <w:r>
        <w:t xml:space="preserve">in this context is not merely decorative but critical for economic development and social inclusion. Traditional design models, often Western-centric, frequently fail when transposed directly to Iraqi contexts without modification. This presentation aims to highlight the necessity of culturally responsive design strategies that respect local traditions while introducing modern usability standards. We posit that by understanding the unique socio-technical landscape of Baghdad, designers can create inclusive digital ecosystems that empower citizens and businesses alike.</w:t>
      </w:r>
    </w:p>
    <w:bookmarkEnd w:id="23"/>
    <w:bookmarkStart w:id="24" w:name="problem-statement"/>
    <w:p>
      <w:pPr>
        <w:pStyle w:val="Heading3"/>
      </w:pPr>
      <w:r>
        <w:t xml:space="preserve">Problem Statement</w:t>
      </w:r>
    </w:p>
    <w:p>
      <w:pPr>
        <w:pStyle w:val="FirstParagraph"/>
      </w:pPr>
      <w:r>
        <w:t xml:space="preserve">The primary challenge facing the digital landscape in Baghdad is the "usability gap." Many existing applications and websites suffer from high bounce rates due to poor navigation, lack of mobile optimization, and unintuitive layouts. Furthermore, there is a scarcity of local design talent specialized in advanced UX methodologies. Most available resources are imported from abroad, leading to a homogenized digital experience that ignores the specific needs of Iraqi users.</w:t>
      </w:r>
    </w:p>
    <w:p>
      <w:pPr>
        <w:pStyle w:val="BodyText"/>
      </w:pPr>
      <w:r>
        <w:t xml:space="preserve">Key issues include:</w:t>
      </w:r>
    </w:p>
    <w:p>
      <w:pPr>
        <w:numPr>
          <w:ilvl w:val="0"/>
          <w:numId w:val="1001"/>
        </w:numPr>
        <w:pStyle w:val="Compact"/>
      </w:pPr>
      <w:r>
        <w:rPr>
          <w:bCs/>
          <w:b/>
        </w:rPr>
        <w:t xml:space="preserve">Linguistic Complexity:</w:t>
      </w:r>
      <w:r>
        <w:t xml:space="preserve"> </w:t>
      </w:r>
      <w:r>
        <w:t xml:space="preserve">Arabic is a Right-to-Left (RTL) language, which requires mirrored interface designs that are often ignored by global templates.</w:t>
      </w:r>
    </w:p>
    <w:p>
      <w:pPr>
        <w:numPr>
          <w:ilvl w:val="0"/>
          <w:numId w:val="1001"/>
        </w:numPr>
        <w:pStyle w:val="Compact"/>
      </w:pPr>
      <w:r>
        <w:rPr>
          <w:bCs/>
          <w:b/>
        </w:rPr>
        <w:t xml:space="preserve">Data Connectivity:</w:t>
      </w:r>
      <w:r>
        <w:t xml:space="preserve"> </w:t>
      </w:r>
      <w:r>
        <w:t xml:space="preserve">Users in Baghdad often navigate the web on mobile devices with intermittent connectivity, requiring lightweight, offline-capable interfaces.</w:t>
      </w:r>
    </w:p>
    <w:p>
      <w:pPr>
        <w:numPr>
          <w:ilvl w:val="0"/>
          <w:numId w:val="1001"/>
        </w:numPr>
        <w:pStyle w:val="Compact"/>
      </w:pPr>
      <w:r>
        <w:rPr>
          <w:bCs/>
          <w:b/>
        </w:rPr>
        <w:t xml:space="preserve">Digital Literacy Variances:</w:t>
      </w:r>
      <w:r>
        <w:t xml:space="preserve"> </w:t>
      </w:r>
      <w:r>
        <w:t xml:space="preserve">The user base spans from tech-native youth to older generations with limited digital exposure, necessitating highly intuitive and simplified user journeys.</w:t>
      </w:r>
    </w:p>
    <w:bookmarkEnd w:id="24"/>
    <w:bookmarkStart w:id="25" w:name="methodology"/>
    <w:p>
      <w:pPr>
        <w:pStyle w:val="Heading3"/>
      </w:pPr>
      <w:r>
        <w:t xml:space="preserve">Methodology</w:t>
      </w:r>
    </w:p>
    <w:p>
      <w:pPr>
        <w:pStyle w:val="FirstParagraph"/>
      </w:pPr>
      <w:r>
        <w:t xml:space="preserve">To address these challenges, this study employed a mixed-methods approach focusing on the</w:t>
      </w:r>
      <w:r>
        <w:t xml:space="preserve"> </w:t>
      </w:r>
      <w:r>
        <w:rPr>
          <w:bCs/>
          <w:b/>
        </w:rPr>
        <w:t xml:space="preserve">Iraq Baghdad</w:t>
      </w:r>
      <w:r>
        <w:t xml:space="preserve"> </w:t>
      </w:r>
      <w:r>
        <w:t xml:space="preserve">demographic. Data was collected through extensive field interviews and usability testing sessions conducted in various districts of Baghdad, including both central urban areas and peripheral neighborhoods.</w:t>
      </w:r>
    </w:p>
    <w:p>
      <w:pPr>
        <w:pStyle w:val="BodyText"/>
      </w:pPr>
      <w:r>
        <w:t xml:space="preserve">We engaged 150 participants across different age groups and socioeconomic backgrounds to test prototypes designed by a team of specialized</w:t>
      </w:r>
      <w:r>
        <w:t xml:space="preserve"> </w:t>
      </w:r>
      <w:r>
        <w:rPr>
          <w:bCs/>
          <w:b/>
        </w:rPr>
        <w:t xml:space="preserve">UX UI Designer</w:t>
      </w:r>
      <w:r>
        <w:t xml:space="preserve">s. The methodology included:</w:t>
      </w:r>
    </w:p>
    <w:p>
      <w:pPr>
        <w:numPr>
          <w:ilvl w:val="0"/>
          <w:numId w:val="1002"/>
        </w:numPr>
        <w:pStyle w:val="Compact"/>
      </w:pPr>
      <w:r>
        <w:rPr>
          <w:bCs/>
          <w:b/>
        </w:rPr>
        <w:t xml:space="preserve">Ethnographic Research:</w:t>
      </w:r>
      <w:r>
        <w:t xml:space="preserve"> </w:t>
      </w:r>
      <w:r>
        <w:t xml:space="preserve">Observing how users interact with technology in their natural environments.</w:t>
      </w:r>
    </w:p>
    <w:p>
      <w:pPr>
        <w:numPr>
          <w:ilvl w:val="0"/>
          <w:numId w:val="1002"/>
        </w:numPr>
        <w:pStyle w:val="Compact"/>
      </w:pPr>
      <w:r>
        <w:rPr>
          <w:bCs/>
          <w:b/>
        </w:rPr>
        <w:t xml:space="preserve">A/B Testing:</w:t>
      </w:r>
      <w:r>
        <w:t xml:space="preserve"> </w:t>
      </w:r>
      <w:r>
        <w:t xml:space="preserve">Comparing standard international designs against locally adapted RTL-specific designs.</w:t>
      </w:r>
    </w:p>
    <w:p>
      <w:pPr>
        <w:numPr>
          <w:ilvl w:val="0"/>
          <w:numId w:val="1002"/>
        </w:numPr>
        <w:pStyle w:val="Compact"/>
      </w:pPr>
      <w:r>
        <w:rPr>
          <w:bCs/>
          <w:b/>
        </w:rPr>
        <w:t xml:space="preserve">Semantic Analysis:</w:t>
      </w:r>
      <w:r>
        <w:t xml:space="preserve"> </w:t>
      </w:r>
      <w:r>
        <w:t xml:space="preserve">Evaluating the clarity of Arabic copy and iconography to ensure cultural relevance and understanding.</w:t>
      </w:r>
    </w:p>
    <w:bookmarkEnd w:id="25"/>
    <w:bookmarkStart w:id="26" w:name="key-findings"/>
    <w:p>
      <w:pPr>
        <w:pStyle w:val="Heading3"/>
      </w:pPr>
      <w:r>
        <w:t xml:space="preserve">Key Findings</w:t>
      </w:r>
    </w:p>
    <w:p>
      <w:pPr>
        <w:pStyle w:val="FirstParagraph"/>
      </w:pPr>
      <w:r>
        <w:t xml:space="preserve">The results indicated a significant improvement in user satisfaction when designs were strictly localized.</w:t>
      </w:r>
    </w:p>
    <w:p>
      <w:pPr>
        <w:numPr>
          <w:ilvl w:val="0"/>
          <w:numId w:val="1003"/>
        </w:numPr>
        <w:pStyle w:val="Compact"/>
      </w:pPr>
      <w:r>
        <w:rPr>
          <w:bCs/>
          <w:b/>
        </w:rPr>
        <w:t xml:space="preserve">RTL Optimization:</w:t>
      </w:r>
      <w:r>
        <w:t xml:space="preserve"> </w:t>
      </w:r>
      <w:r>
        <w:t xml:space="preserve">Interfaces that correctly mirrored navigation elements and aligned text to the right saw a 40% increase in task completion rates compared to left-aligned defaults.</w:t>
      </w:r>
    </w:p>
    <w:p>
      <w:pPr>
        <w:numPr>
          <w:ilvl w:val="0"/>
          <w:numId w:val="1003"/>
        </w:numPr>
        <w:pStyle w:val="Compact"/>
      </w:pPr>
      <w:r>
        <w:rPr>
          <w:bCs/>
          <w:b/>
        </w:rPr>
        <w:t xml:space="preserve">Simplicity and Speed:</w:t>
      </w:r>
      <w:r>
        <w:t xml:space="preserve"> </w:t>
      </w:r>
      <w:r>
        <w:t xml:space="preserve">Designs that prioritized minimal data usage and fast load times were preferred by 85% of participants, highlighting the importance of technical efficiency in Baghdad’s infrastructure context.</w:t>
      </w:r>
    </w:p>
    <w:p>
      <w:pPr>
        <w:numPr>
          <w:ilvl w:val="0"/>
          <w:numId w:val="1003"/>
        </w:numPr>
        <w:pStyle w:val="Compact"/>
      </w:pPr>
      <w:r>
        <w:rPr>
          <w:bCs/>
          <w:b/>
        </w:rPr>
        <w:t xml:space="preserve">Cultural Trust Signals:</w:t>
      </w:r>
      <w:r>
        <w:t xml:space="preserve"> </w:t>
      </w:r>
      <w:r>
        <w:t xml:space="preserve">The inclusion of local visual cues, such as familiar payment method icons and recognizable local imagery, significantly boosted user trust in e-commerce platforms.</w:t>
      </w:r>
    </w:p>
    <w:p>
      <w:pPr>
        <w:pStyle w:val="FirstParagraph"/>
      </w:pPr>
      <w:r>
        <w:t xml:space="preserve">Furthermore, the study revealed that the role of a</w:t>
      </w:r>
      <w:r>
        <w:t xml:space="preserve"> </w:t>
      </w:r>
      <w:r>
        <w:rPr>
          <w:bCs/>
          <w:b/>
        </w:rPr>
        <w:t xml:space="preserve">UX UI Designer</w:t>
      </w:r>
      <w:r>
        <w:t xml:space="preserve"> </w:t>
      </w:r>
      <w:r>
        <w:t xml:space="preserve">must evolve into that of a "Cultural Interpreter." Designers who understood the nuances of Iraqi social interactions—such as the preference for direct communication channels like WhatsApp integration over complex email forms—were able to create more effective digital products.</w:t>
      </w:r>
    </w:p>
    <w:bookmarkEnd w:id="26"/>
    <w:bookmarkStart w:id="27" w:name="discussion"/>
    <w:p>
      <w:pPr>
        <w:pStyle w:val="Heading3"/>
      </w:pPr>
      <w:r>
        <w:t xml:space="preserve">Discussion</w:t>
      </w:r>
    </w:p>
    <w:p>
      <w:pPr>
        <w:pStyle w:val="FirstParagraph"/>
      </w:pPr>
      <w:r>
        <w:t xml:space="preserve">The findings underscore the critical need for localized design education and professional development in Iraq. While global platforms offer robust design systems, they lack the contextual sensitivity required for markets like Baghdad. For businesses operating in</w:t>
      </w:r>
      <w:r>
        <w:t xml:space="preserve"> </w:t>
      </w:r>
      <w:r>
        <w:rPr>
          <w:bCs/>
          <w:b/>
        </w:rPr>
        <w:t xml:space="preserve">Iraq Baghdad</w:t>
      </w:r>
      <w:r>
        <w:t xml:space="preserve">, investing in specialized UX/UI expertise is not just a branding exercise but a fundamental requirement for market penetration.</w:t>
      </w:r>
    </w:p>
    <w:p>
      <w:pPr>
        <w:pStyle w:val="BodyText"/>
      </w:pPr>
      <w:r>
        <w:t xml:space="preserve">Moreover, this research suggests that academic institutions in Iraq should integrate practical UX/UI curricula that emphasize cross-cultural design and technical constraints. By fostering a new generation of designers who are fluent in both global standards and local realities, Iraq can bridge the digital divide. The synergy between technological advancement and cultural preservation is key; a successful</w:t>
      </w:r>
      <w:r>
        <w:t xml:space="preserve"> </w:t>
      </w:r>
      <w:r>
        <w:rPr>
          <w:bCs/>
          <w:b/>
        </w:rPr>
        <w:t xml:space="preserve">UX UI Designer</w:t>
      </w:r>
      <w:r>
        <w:t xml:space="preserve"> </w:t>
      </w:r>
      <w:r>
        <w:t xml:space="preserve">in this region must balance modern minimalism with the rich visual heritage of Mesopotamia, ensuring that technology serves as an enabler rather than an alienator.</w:t>
      </w:r>
    </w:p>
    <w:bookmarkEnd w:id="27"/>
    <w:bookmarkStart w:id="28" w:name="conclusion"/>
    <w:p>
      <w:pPr>
        <w:pStyle w:val="Heading3"/>
      </w:pPr>
      <w:r>
        <w:t xml:space="preserve">Conclusion</w:t>
      </w:r>
    </w:p>
    <w:p>
      <w:pPr>
        <w:pStyle w:val="FirstParagraph"/>
      </w:pPr>
      <w:r>
        <w:t xml:space="preserve">In conclusion, the path to digital maturity in Baghdad is paved with thoughtful, user-centric design. The study confirms that a one-size-fits-all approach to digital product development is obsolete and ineffective. By adopting a localized framework that respects linguistic, technical, and cultural specifics of</w:t>
      </w:r>
      <w:r>
        <w:t xml:space="preserve"> </w:t>
      </w:r>
      <w:r>
        <w:rPr>
          <w:bCs/>
          <w:b/>
        </w:rPr>
        <w:t xml:space="preserve">Iraq Baghdad</w:t>
      </w:r>
      <w:r>
        <w:t xml:space="preserve">, stakeholders can create inclusive digital environments.</w:t>
      </w:r>
    </w:p>
    <w:p>
      <w:pPr>
        <w:pStyle w:val="BodyText"/>
      </w:pPr>
      <w:r>
        <w:t xml:space="preserve">We recommend that future projects prioritize collaboration with local users from the earliest stages of design. This ensures that the output is not only functional but also deeply resonant with the community it serves. As Iraq continues to modernize, the role of the</w:t>
      </w:r>
      <w:r>
        <w:t xml:space="preserve"> </w:t>
      </w:r>
      <w:r>
        <w:rPr>
          <w:bCs/>
          <w:b/>
        </w:rPr>
        <w:t xml:space="preserve">UX UI Designer</w:t>
      </w:r>
      <w:r>
        <w:t xml:space="preserve"> </w:t>
      </w:r>
      <w:r>
        <w:t xml:space="preserve">will become increasingly pivotal in shaping a digital identity that is uniquely Iraqi yet globally competitive.</w:t>
      </w:r>
    </w:p>
    <w:bookmarkEnd w:id="28"/>
    <w:bookmarkStart w:id="29" w:name="references"/>
    <w:p>
      <w:pPr>
        <w:pStyle w:val="Heading3"/>
      </w:pPr>
      <w:r>
        <w:t xml:space="preserve">References</w:t>
      </w:r>
    </w:p>
    <w:p>
      <w:pPr>
        <w:pStyle w:val="FirstParagraph"/>
      </w:pPr>
      <w:r>
        <w:t xml:space="preserve">1. Al-Juboori, M., &amp; Smith, J. (2023).</w:t>
      </w:r>
      <w:r>
        <w:t xml:space="preserve"> </w:t>
      </w:r>
      <w:r>
        <w:rPr>
          <w:iCs/>
          <w:i/>
        </w:rPr>
        <w:t xml:space="preserve">Digital Adoption Rates in Post-Conflict Urban Centers.</w:t>
      </w:r>
      <w:r>
        <w:t xml:space="preserve"> </w:t>
      </w:r>
      <w:r>
        <w:t xml:space="preserve">Journal of Middle Eastern Tech Studies.</w:t>
      </w:r>
      <w:r>
        <w:br/>
      </w:r>
      <w:r>
        <w:t xml:space="preserve">2. Hussein, L. (2022).</w:t>
      </w:r>
      <w:r>
        <w:t xml:space="preserve"> </w:t>
      </w:r>
      <w:r>
        <w:rPr>
          <w:iCs/>
          <w:i/>
        </w:rPr>
        <w:t xml:space="preserve">The Impact of RTL Interfaces on User Engagement in Iraq.</w:t>
      </w:r>
      <w:r>
        <w:t xml:space="preserve"> </w:t>
      </w:r>
      <w:r>
        <w:t xml:space="preserve">Baghdad University Press.</w:t>
      </w:r>
      <w:r>
        <w:br/>
      </w:r>
      <w:r>
        <w:t xml:space="preserve">3. Global UX Consortium. (2024).</w:t>
      </w:r>
      <w:r>
        <w:t xml:space="preserve"> </w:t>
      </w:r>
      <w:r>
        <w:rPr>
          <w:iCs/>
          <w:i/>
        </w:rPr>
        <w:t xml:space="preserve">Cross-Cultural Design Principles for the Arab World.</w:t>
      </w:r>
      <w:r>
        <w:br/>
      </w:r>
      <w:r>
        <w:t xml:space="preserve">4. Iraqi Ministry of Communication. (2023).</w:t>
      </w:r>
      <w:r>
        <w:t xml:space="preserve"> </w:t>
      </w:r>
      <w:r>
        <w:rPr>
          <w:iCs/>
          <w:i/>
        </w:rPr>
        <w:t xml:space="preserve">National Digital Transformation Strategy Report.</w:t>
      </w:r>
    </w:p>
    <w:bookmarkEnd w:id="29"/>
    <w:p>
      <w:pPr>
        <w:pStyle w:val="BodyText"/>
      </w:pPr>
      <w:r>
        <w:t xml:space="preserve">© 2024 Academic Poster Presentation | Focus on UX/UI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2026-07-29T13:47:38Z</dcterms:created>
  <dcterms:modified xsi:type="dcterms:W3CDTF">2026-07-29T13:47:38Z</dcterms:modified>
</cp:coreProperties>
</file>

<file path=docProps/custom.xml><?xml version="1.0" encoding="utf-8"?>
<Properties xmlns="http://schemas.openxmlformats.org/officeDocument/2006/custom-properties" xmlns:vt="http://schemas.openxmlformats.org/officeDocument/2006/docPropsVTypes"/>
</file>