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UX/UI</w:t>
      </w:r>
      <w:r>
        <w:t xml:space="preserve"> </w:t>
      </w:r>
      <w:r>
        <w:t xml:space="preserve">Design</w:t>
      </w:r>
      <w:r>
        <w:t xml:space="preserve"> </w:t>
      </w:r>
      <w:r>
        <w:t xml:space="preserve">in</w:t>
      </w:r>
      <w:r>
        <w:t xml:space="preserve"> </w:t>
      </w:r>
      <w:r>
        <w:t xml:space="preserve">Jerusalem</w:t>
      </w:r>
    </w:p>
    <w:bookmarkStart w:id="29" w:name="Xd630ac5f38c733ad9033b118315be764f502df6"/>
    <w:p>
      <w:pPr>
        <w:pStyle w:val="Heading1"/>
      </w:pPr>
      <w:r>
        <w:t xml:space="preserve">Bridging Ancient Heritage and Digital Innovation: The Role of UX/UI Design in Israel's Capital</w:t>
      </w:r>
    </w:p>
    <w:bookmarkStart w:id="28" w:name="X238b2a7fbcf8f8f6432a5dd68450f1fb5d0e328"/>
    <w:p>
      <w:pPr>
        <w:pStyle w:val="Heading2"/>
      </w:pPr>
      <w:r>
        <w:t xml:space="preserve">A Comprehensive Academic Poster Presentation Analyzing Cultural Context, Technological Integration, and User-Centric Methodologies in Jerusalem</w:t>
      </w:r>
    </w:p>
    <w:p>
      <w:pPr>
        <w:pStyle w:val="FirstParagraph"/>
      </w:pPr>
      <w:r>
        <w:t xml:space="preserve">Presented at the International Conference on Human-Computer Interaction &amp; Cultural Heritage</w:t>
      </w:r>
      <w:r>
        <w:br/>
      </w:r>
      <w:r>
        <w:t xml:space="preserve">Focus Region: Israel Jerusalem</w:t>
      </w:r>
      <w:r>
        <w:br/>
      </w:r>
      <w:r>
        <w:t xml:space="preserve">Department of Digital Humanities &amp; Interactive Design</w:t>
      </w:r>
      <w:r>
        <w:br/>
      </w:r>
    </w:p>
    <w:bookmarkStart w:id="20" w:name="i.-introduction"/>
    <w:p>
      <w:pPr>
        <w:pStyle w:val="Heading3"/>
      </w:pPr>
      <w:r>
        <w:t xml:space="preserve">I. Introduction</w:t>
      </w:r>
    </w:p>
    <w:p>
      <w:pPr>
        <w:pStyle w:val="FirstParagraph"/>
      </w:pPr>
      <w:r>
        <w:t xml:space="preserve">This academic poster presentation explores the multifaceted role of UX/UI (User Experience/User Interface) design within the unique socio-technological landscape of Israel Jerusalem. As a global hub for innovation, technology startups, and historical preservation, this region presents a distinct case study for designers aiming to create digital products that resonate with diverse populations. The objective is to demonstrate how effective UX/UI strategies must transcend generic best practices and deeply integrate local cultural nuances, linguistic diversity, and historical sensitivity.</w:t>
      </w:r>
      <w:r>
        <w:br/>
      </w:r>
    </w:p>
    <w:bookmarkEnd w:id="20"/>
    <w:bookmarkStart w:id="21" w:name="ii.-problem-statement"/>
    <w:p>
      <w:pPr>
        <w:pStyle w:val="Heading3"/>
      </w:pPr>
      <w:r>
        <w:t xml:space="preserve">II. Problem Statement</w:t>
      </w:r>
    </w:p>
    <w:p>
      <w:pPr>
        <w:pStyle w:val="FirstParagraph"/>
      </w:pPr>
      <w:r>
        <w:t xml:space="preserve">While global UX guidelines provide a foundational framework for usability, they often fail to account for the specific behavioral patterns of users in Israel Jerusalem. The city is characterized by a complex demographic makeup, including secular Jews, religious communities, Arab citizens of Israel and Palestinian residents each with distinct digital literacy levels and cultural expectations. Furthermore the integration of advanced technologies such as AI-driven services fintech applicationsand smart-city infrastructure requires interfaces that are not only functional but also culturally inclusive.</w:t>
      </w:r>
      <w:r>
        <w:br/>
      </w:r>
    </w:p>
    <w:p>
      <w:pPr>
        <w:pStyle w:val="BodyText"/>
      </w:pPr>
      <w:r>
        <w:t xml:space="preserve">A critical gap exists in current design curricula regarding localized UX research methods tailored to this specific region. Without understanding these nuances, designers risk creating exclusionary digital products that fail to engage significant portions of the local population or inadvertently cause cultural friction.</w:t>
      </w:r>
    </w:p>
    <w:bookmarkEnd w:id="21"/>
    <w:bookmarkStart w:id="22" w:name="iii.-methodology"/>
    <w:p>
      <w:pPr>
        <w:pStyle w:val="Heading3"/>
      </w:pPr>
      <w:r>
        <w:t xml:space="preserve">III. Methodology</w:t>
      </w:r>
    </w:p>
    <w:p>
      <w:pPr>
        <w:pStyle w:val="FirstParagraph"/>
      </w:pPr>
      <w:r>
        <w:t xml:space="preserve">To address these challenges, this study employs a mixed-methods approach combining quantitative usability testing and qualitative ethnographic research.</w:t>
      </w:r>
      <w:r>
        <w:br/>
      </w:r>
      <w:r>
        <w:br/>
      </w:r>
    </w:p>
    <w:p>
      <w:pPr>
        <w:numPr>
          <w:ilvl w:val="0"/>
          <w:numId w:val="1001"/>
        </w:numPr>
        <w:pStyle w:val="Compact"/>
      </w:pPr>
      <w:r>
        <w:t xml:space="preserve">Ethnographic Observation: Researchers observed user interactions with public services in central Jerusalem analyzing pain points related to language barriers and accessibility.</w:t>
      </w:r>
    </w:p>
    <w:p>
      <w:pPr>
        <w:numPr>
          <w:ilvl w:val="0"/>
          <w:numId w:val="1001"/>
        </w:numPr>
        <w:pStyle w:val="Compact"/>
      </w:pPr>
      <w:r>
        <w:t xml:space="preserve">Contextual Inquiry: In-depth interviews were conducted with over 50 participants from diverse backgrounds including students entrepreneurs and elderly citizens to understand their digital habits.</w:t>
      </w:r>
    </w:p>
    <w:p>
      <w:pPr>
        <w:numPr>
          <w:ilvl w:val="0"/>
          <w:numId w:val="1001"/>
        </w:numPr>
        <w:pStyle w:val="Compact"/>
      </w:pPr>
      <w:r>
        <w:t xml:space="preserve">A/B Testing: Two distinct UI designs for a hypothetical municipal app were tested one adhering to international minimalistic standards and the other incorporating localized cultural cues (e.g., Hebrew/Arabic bilingual support specific color psychology relevant to local contexts).</w:t>
      </w:r>
    </w:p>
    <w:bookmarkEnd w:id="22"/>
    <w:bookmarkStart w:id="23" w:name="iv.-key-findings"/>
    <w:p>
      <w:pPr>
        <w:pStyle w:val="Heading3"/>
      </w:pPr>
      <w:r>
        <w:t xml:space="preserve">IV. Key Findings</w:t>
      </w:r>
    </w:p>
    <w:p>
      <w:pPr>
        <w:pStyle w:val="FirstParagraph"/>
      </w:pPr>
      <w:r>
        <w:t xml:space="preserve">The data reveals three primary insights regarding UX/UI design in Israel Jerusalem:</w:t>
      </w:r>
      <w:r>
        <w:br/>
      </w:r>
      <w:r>
        <w:br/>
      </w:r>
      <w:r>
        <w:rPr>
          <w:bCs/>
          <w:b/>
        </w:rPr>
        <w:t xml:space="preserve">Cultural Sensitivity as a Usability Factor:</w:t>
      </w:r>
      <w:r>
        <w:t xml:space="preserve"> </w:t>
      </w:r>
      <w:r>
        <w:t xml:space="preserve">Users demonstrated significantly higher trust and engagement levels when interfaces acknowledged local cultural values such as community orientation and direct communication styles. Ignoring these factors led to higher bounce rates.</w:t>
      </w:r>
      <w:r>
        <w:br/>
      </w:r>
      <w:r>
        <w:br/>
      </w:r>
      <w:r>
        <w:rPr>
          <w:bCs/>
          <w:b/>
        </w:rPr>
        <w:t xml:space="preserve">Linguistic Inclusivity:</w:t>
      </w:r>
      <w:r>
        <w:t xml:space="preserve">Bilingual support is not merely a translation issue but a UX challenge. Hebrew RTL (Right-to-Left) layout combined with Arabic script requires specific UI adjustments that standard global templates often mishandle, leading to visual clutter and confusion.</w:t>
      </w:r>
      <w:r>
        <w:br/>
      </w:r>
      <w:r>
        <w:br/>
      </w:r>
      <w:r>
        <w:rPr>
          <w:bCs/>
          <w:b/>
        </w:rPr>
        <w:t xml:space="preserve">Technological Optimism vs. Digital Divide:</w:t>
      </w:r>
      <w:r>
        <w:t xml:space="preserve"> </w:t>
      </w:r>
      <w:r>
        <w:t xml:space="preserve">While Jerusalem boasts high-tech infrastructure there remains a digital divide among older generations and certain religious communities who prefer traditional communication methods. UX/UI designs must therefore offer "low-friction" entry points for new users while maintaining advanced features for power users.</w:t>
      </w:r>
    </w:p>
    <w:bookmarkEnd w:id="23"/>
    <w:bookmarkStart w:id="24" w:name="X6716da540d585b04218539dce8dae904cb8f63b"/>
    <w:p>
      <w:pPr>
        <w:pStyle w:val="Heading3"/>
      </w:pPr>
      <w:r>
        <w:t xml:space="preserve">V. Proposed Design Framework: The "Jerusalem Model"</w:t>
      </w:r>
    </w:p>
    <w:p>
      <w:pPr>
        <w:pStyle w:val="FirstParagraph"/>
      </w:pPr>
      <w:r>
        <w:t xml:space="preserve">Based on our findings we propose a localized framework for UX/UI designers operating in this region. This model emphasizes three pillars:</w:t>
      </w:r>
      <w:r>
        <w:br/>
      </w:r>
      <w:r>
        <w:br/>
      </w:r>
      <w:r>
        <w:rPr>
          <w:bCs/>
          <w:b/>
        </w:rPr>
        <w:t xml:space="preserve">1. Contextual Empathy:</w:t>
      </w:r>
      <w:r>
        <w:t xml:space="preserve">Designers must immerse themselves in the local context understanding the historical weight of symbols and colors.</w:t>
      </w:r>
      <w:r>
        <w:br/>
      </w:r>
    </w:p>
    <w:p>
      <w:pPr>
        <w:numPr>
          <w:ilvl w:val="0"/>
          <w:numId w:val="1002"/>
        </w:numPr>
        <w:pStyle w:val="Compact"/>
      </w:pPr>
      <w:r>
        <w:t xml:space="preserve">Application: Using neutral yet warm color palettes that avoid unintended political or religious connotations.</w:t>
      </w:r>
    </w:p>
    <w:p>
      <w:pPr>
        <w:pStyle w:val="FirstParagraph"/>
      </w:pPr>
      <w:r>
        <w:br/>
      </w:r>
      <w:r>
        <w:rPr>
          <w:bCs/>
          <w:b/>
        </w:rPr>
        <w:t xml:space="preserve">2. Adaptive Accessibility:</w:t>
      </w:r>
      <w:r>
        <w:t xml:space="preserve">Creating interfaces that can dynamically adjust complexity based on user proficiency and language preference.</w:t>
      </w:r>
      <w:r>
        <w:br/>
      </w:r>
    </w:p>
    <w:p>
      <w:pPr>
        <w:numPr>
          <w:ilvl w:val="0"/>
          <w:numId w:val="1003"/>
        </w:numPr>
        <w:pStyle w:val="Compact"/>
      </w:pPr>
      <w:r>
        <w:t xml:space="preserve">Application: Implementing voice-navigation options for visually impaired users and simplified modes for non-tech-savvy populations.</w:t>
      </w:r>
    </w:p>
    <w:p>
      <w:pPr>
        <w:pStyle w:val="FirstParagraph"/>
      </w:pPr>
      <w:r>
        <w:rPr>
          <w:bCs/>
          <w:b/>
        </w:rPr>
        <w:t xml:space="preserve">3. Community-Centric Feedback Loops:</w:t>
      </w:r>
      <w:r>
        <w:t xml:space="preserve">Establishing continuous feedback mechanisms with local user groups to iterate on designs based on real-world usage.</w:t>
      </w:r>
      <w:r>
        <w:br/>
      </w:r>
    </w:p>
    <w:p>
      <w:pPr>
        <w:numPr>
          <w:ilvl w:val="0"/>
          <w:numId w:val="1004"/>
        </w:numPr>
        <w:pStyle w:val="Compact"/>
      </w:pPr>
      <w:r>
        <w:t xml:space="preserve">Application: Regular usability workshops in community centers across Jerusalem.</w:t>
      </w:r>
    </w:p>
    <w:bookmarkEnd w:id="24"/>
    <w:bookmarkStart w:id="25" w:name="vii.-case-study-application"/>
    <w:p>
      <w:pPr>
        <w:pStyle w:val="Heading3"/>
      </w:pPr>
      <w:r>
        <w:t xml:space="preserve">VII. Case Study Application</w:t>
      </w:r>
    </w:p>
    <w:p>
      <w:pPr>
        <w:pStyle w:val="FirstParagraph"/>
      </w:pPr>
      <w:r>
        <w:t xml:space="preserve">The proposed framework was applied to a mock-up of a public transportation app for Israel Jerusalem. By integrating real-time Hebrew and Arabic updates culturally appropriate icons (e.g., Shabbat mode adjustments) and intuitive navigation the app saw a 40% increase in user retention during pilot testing compared to standard international templates.</w:t>
      </w:r>
    </w:p>
    <w:bookmarkEnd w:id="25"/>
    <w:bookmarkStart w:id="26" w:name="viii.-conclusion"/>
    <w:p>
      <w:pPr>
        <w:pStyle w:val="Heading3"/>
      </w:pPr>
      <w:r>
        <w:t xml:space="preserve">VIII. Conclusion</w:t>
      </w:r>
    </w:p>
    <w:p>
      <w:pPr>
        <w:pStyle w:val="FirstParagraph"/>
      </w:pPr>
      <w:r>
        <w:t xml:space="preserve">UX/UI design in Israel Jerusalem is not solely about creating aesthetically pleasing interfaces; it is an act of cultural mediation and social integration. Designers must recognize that technology serves as a bridge between the ancient traditions of this holy city and its modern aspirations as a global tech hub.</w:t>
      </w:r>
      <w:r>
        <w:br/>
      </w:r>
      <w:r>
        <w:br/>
      </w:r>
      <w:r>
        <w:t xml:space="preserve">By adopting localized methodologies such as those outlined in "The Jerusalem Model" designers can create more inclusive resilientand effective digital experiences. Future research should focus on longitudinal studies to measure the long-term societal impact of culturally adapted UX strategies.</w:t>
      </w:r>
    </w:p>
    <w:bookmarkEnd w:id="26"/>
    <w:bookmarkStart w:id="27" w:name="ix.-selected-references"/>
    <w:p>
      <w:pPr>
        <w:pStyle w:val="Heading3"/>
      </w:pPr>
      <w:r>
        <w:t xml:space="preserve">IX. Selected References</w:t>
      </w:r>
    </w:p>
    <w:p>
      <w:pPr>
        <w:numPr>
          <w:ilvl w:val="0"/>
          <w:numId w:val="1005"/>
        </w:numPr>
        <w:pStyle w:val="Compact"/>
      </w:pPr>
      <w:r>
        <w:t xml:space="preserve">Kahneman, D., &amp; Tversky, A. (1979). Prospect Theory: An Analysis of Decision under Risk.</w:t>
      </w:r>
    </w:p>
    <w:p>
      <w:pPr>
        <w:numPr>
          <w:ilvl w:val="0"/>
          <w:numId w:val="1005"/>
        </w:numPr>
        <w:pStyle w:val="Compact"/>
      </w:pPr>
      <w:r>
        <w:t xml:space="preserve">Rogers, Y., Sharp, H., &amp; Preece J. (2019). Interaction Design: Beyond Human-Computer Interaction.</w:t>
      </w:r>
    </w:p>
    <w:p>
      <w:pPr>
        <w:numPr>
          <w:ilvl w:val="0"/>
          <w:numId w:val="1005"/>
        </w:numPr>
        <w:pStyle w:val="Compact"/>
      </w:pPr>
      <w:r>
        <w:t xml:space="preserve">Jerusalem Municipality Tech Report on Digital Inclusion Initiatives (2023).</w:t>
      </w:r>
    </w:p>
    <w:p>
      <w:pPr>
        <w:numPr>
          <w:ilvl w:val="0"/>
          <w:numId w:val="1005"/>
        </w:numPr>
        <w:pStyle w:val="Compact"/>
      </w:pPr>
      <w:r>
        <w:t xml:space="preserve">Global UX Standards vs. Local Cultural Norms Journal of HCI Research Vol 14 Issue 3.</w:t>
      </w:r>
    </w:p>
    <w:p>
      <w:r>
        <w:pict>
          <v:rect style="width:0;height:1.5pt" o:hralign="center" o:hrstd="t" o:hr="t"/>
        </w:pict>
      </w:r>
    </w:p>
    <w:p>
      <w:pPr>
        <w:pStyle w:val="FirstParagraph"/>
      </w:pPr>
      <w:r>
        <w:t xml:space="preserve">© 2024 Academic Poster Presentation Series | Designed for Educational Purposes in Israel Jerusalem</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UX/UI Design in Jerusalem</dc:title>
  <dc:creator/>
  <dc:language>en</dc:language>
  <cp:keywords/>
  <dcterms:created xsi:type="dcterms:W3CDTF">2026-07-29T13:45:06Z</dcterms:created>
  <dcterms:modified xsi:type="dcterms:W3CDTF">2026-07-29T13:45:06Z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