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Akigumi: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</w:t>
      </w:r>
      <w:r>
        <w:t xml:space="preserve"> </w:t>
      </w:r>
      <w:r>
        <w:t xml:space="preserve">and</w:t>
      </w:r>
      <w:r>
        <w:t xml:space="preserve"> </w:t>
      </w:r>
      <w:r>
        <w:t xml:space="preserve">Digital</w:t>
      </w:r>
      <w:r>
        <w:t xml:space="preserve"> </w:t>
      </w:r>
      <w:r>
        <w:t xml:space="preserve">Future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20" w:name="X50057ec23d37f7c24b55a8b62d4276f52d4ac42"/>
    <w:p>
      <w:pPr>
        <w:pStyle w:val="Heading1"/>
      </w:pPr>
      <w:r>
        <w:t xml:space="preserve">Akigumi: Bridging Tradition and Digital Future in Japan Kyoto</w:t>
      </w:r>
    </w:p>
    <w:p>
      <w:pPr>
        <w:pStyle w:val="FirstParagraph"/>
      </w:pPr>
      <w:r>
        <w:t xml:space="preserve">A Poster Presentation Academic Document on Enhancing Cultural Heritage through Interface Design</w:t>
      </w:r>
    </w:p>
    <w:bookmarkEnd w:id="20"/>
    <w:bookmarkStart w:id="21" w:name="intro-heading"/>
    <w:p>
      <w:pPr>
        <w:pStyle w:val="Heading2"/>
      </w:pPr>
      <w:r>
        <w:t xml:space="preserve">Introduction: The Intersection of Heritage and Interface</w:t>
      </w:r>
    </w:p>
    <w:p>
      <w:pPr>
        <w:pStyle w:val="FirstParagraph"/>
      </w:pPr>
      <w:r>
        <w:t xml:space="preserve">In the heart of Japan, where the ancient meets the contemporary, lies Kyoto. This city is not merely a tourist destination but a living museum, a repository of centuries-old traditions that coexist with cutting-edge technology. For any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tasked with creating digital experiences in this unique locale,</w:t>
      </w:r>
      <w:hyperlink w:anchor="citation-note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the challenge extends beyond standard usability metrics.</w:t>
      </w:r>
    </w:p>
    <w:p>
      <w:pPr>
        <w:pStyle w:val="BodyText"/>
      </w:pPr>
      <w:r>
        <w:t xml:space="preserve">This poster presentation explores how</w:t>
      </w:r>
      <w:r>
        <w:t xml:space="preserve"> </w:t>
      </w:r>
      <w:r>
        <w:rPr>
          <w:bCs/>
          <w:b/>
        </w:rPr>
        <w:t xml:space="preserve">UX UI Design</w:t>
      </w:r>
      <w:hyperlink w:anchor="citation-note">
        <w:r>
          <w:rPr>
            <w:rStyle w:val="Hyperlink"/>
          </w:rPr>
          <w:t xml:space="preserve">*</w:t>
        </w:r>
      </w:hyperlink>
    </w:p>
    <w:p>
      <w:pPr>
        <w:pStyle w:val="BodyText"/>
      </w:pPr>
      <w:r>
        <w:rPr>
          <w:bCs/>
          <w:b/>
        </w:rPr>
        <w:t xml:space="preserve">Core Objective:</w:t>
      </w:r>
      <w:r>
        <w:t xml:space="preserve"> </w:t>
      </w:r>
      <w:r>
        <w:t xml:space="preserve">To develop an interface framework that enhances accessibility to Kyoto's heritage sites while maintaining the serenity and respect inherent in its culture.</w:t>
      </w:r>
    </w:p>
    <w:bookmarkEnd w:id="21"/>
    <w:bookmarkStart w:id="22" w:name="framework-heading"/>
    <w:p>
      <w:pPr>
        <w:pStyle w:val="Heading2"/>
      </w:pPr>
      <w:r>
        <w:t xml:space="preserve">Framework: Adapting "Ma" and "Omotenashi"</w:t>
      </w:r>
    </w:p>
    <w:p>
      <w:pPr>
        <w:pStyle w:val="FirstParagraph"/>
      </w:pPr>
      <w:r>
        <w:rPr>
          <w:bCs/>
          <w:b/>
        </w:rPr>
        <w:t xml:space="preserve">1. Ma (The Power of Negative Space):</w:t>
      </w:r>
    </w:p>
    <w:p>
      <w:pPr>
        <w:numPr>
          <w:ilvl w:val="0"/>
          <w:numId w:val="1001"/>
        </w:numPr>
        <w:pStyle w:val="Compact"/>
      </w:pPr>
      <w:r>
        <w:t xml:space="preserve">In traditional Japanese architecture, Ma is not empty space; it is a pause, a breath, a moment of anticipation.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 (UX) Application:</w:t>
      </w:r>
      <w:r>
        <w:t xml:space="preserve"> </w:t>
      </w:r>
      <w:r>
        <w:t xml:space="preserve">Avoid clutter. Let users breathe between actions. A crowded interface violates the Kyoto aesthetic of tranquility.*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Interface (UI) Application:</w:t>
      </w:r>
      <w:r>
        <w:t xml:space="preserve"> </w:t>
      </w:r>
      <w:r>
        <w:t xml:space="preserve">Generous padding, minimalist buttons, and ample white space to guide focus rather than demand it.</w:t>
      </w:r>
    </w:p>
    <w:p>
      <w:pPr>
        <w:pStyle w:val="FirstParagraph"/>
      </w:pPr>
      <w:r>
        <w:rPr>
          <w:bCs/>
          <w:b/>
        </w:rPr>
        <w:t xml:space="preserve">2. Omotenashi (Anticipatory Hospitality):</w:t>
      </w:r>
    </w:p>
    <w:p>
      <w:pPr>
        <w:numPr>
          <w:ilvl w:val="0"/>
          <w:numId w:val="1002"/>
        </w:numPr>
        <w:pStyle w:val="Compact"/>
      </w:pPr>
      <w:r>
        <w:t xml:space="preserve">Omotenashi is the art of anticipating a guest's needs before they are expressed.*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User Experience (UX) Application:</w:t>
      </w:r>
      <w:r>
        <w:t xml:space="preserve"> </w:t>
      </w:r>
      <w:r>
        <w:t xml:space="preserve">Proactive information delivery. If a user visits the page for Kinkaku-ji, immediately present cultural context, not just ticket links.</w:t>
      </w:r>
    </w:p>
    <w:bookmarkEnd w:id="22"/>
    <w:bookmarkStart w:id="23" w:name="visual-heading"/>
    <w:p>
      <w:pPr>
        <w:pStyle w:val="Heading2"/>
      </w:pPr>
      <w:r>
        <w:t xml:space="preserve">Visual Language: The Palette of Kyoto</w:t>
      </w:r>
    </w:p>
    <w:p>
      <w:pPr>
        <w:pStyle w:val="FirstParagraph"/>
      </w:pPr>
      <w:r>
        <w:t xml:space="preserve">The visual identity for digital products in Japan must reflect the chromatic history of the region.</w:t>
      </w:r>
    </w:p>
    <w:p>
      <w:pPr>
        <w:pStyle w:val="BodyText"/>
      </w:pPr>
      <w:r>
        <w:rPr>
          <w:bCs/>
          <w:b/>
        </w:rPr>
        <w:t xml:space="preserve">Color Theory:</w:t>
      </w:r>
    </w:p>
    <w:p>
      <w:pPr>
        <w:numPr>
          <w:ilvl w:val="0"/>
          <w:numId w:val="1003"/>
        </w:numPr>
        <w:pStyle w:val="Compact"/>
      </w:pPr>
      <w:hyperlink w:anchor="citation-note">
        <w:r>
          <w:rPr>
            <w:rStyle w:val="Hyperlink"/>
          </w:rPr>
          <w:t xml:space="preserve">*</w:t>
        </w:r>
      </w:hyperlink>
      <w:r>
        <w:rPr>
          <w:iCs/>
          <w:i/>
        </w:rPr>
        <w:t xml:space="preserve">Kon (Indigo):</w:t>
      </w:r>
      <w:r>
        <w:t xml:space="preserve"> </w:t>
      </w:r>
      <w:r>
        <w:t xml:space="preserve">Represents depth and tradition. Use for primary navigation to ground the user.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Aka (Red):</w:t>
      </w:r>
      <w:r>
        <w:t xml:space="preserve"> </w:t>
      </w:r>
      <w:r>
        <w:t xml:space="preserve">Symbolizing energy, found in Torii gates. Use sparingly for calls-to-action (CTAs) to draw attention without overwhelming.</w:t>
      </w:r>
    </w:p>
    <w:p>
      <w:pPr>
        <w:numPr>
          <w:ilvl w:val="0"/>
          <w:numId w:val="1003"/>
        </w:numPr>
        <w:pStyle w:val="Compact"/>
      </w:pPr>
      <w:r>
        <w:t xml:space="preserve">Kuro (Black):*Elegant contrast, used for typography and structural elements.</w:t>
      </w:r>
    </w:p>
    <w:p>
      <w:pPr>
        <w:numPr>
          <w:ilvl w:val="0"/>
          <w:numId w:val="1004"/>
        </w:numPr>
        <w:pStyle w:val="Compact"/>
      </w:pPr>
      <w:hyperlink w:anchor="citation-note">
        <w:r>
          <w:rPr>
            <w:rStyle w:val="Hyperlink"/>
          </w:rPr>
          <w:t xml:space="preserve">*</w:t>
        </w:r>
      </w:hyperlink>
      <w:r>
        <w:t xml:space="preserve">Serif fonts that mimic brush strokes convey history, while clean Sans-Serif fonts provide modern readability.</w:t>
      </w:r>
    </w:p>
    <w:p>
      <w:pPr>
        <w:numPr>
          <w:ilvl w:val="0"/>
          <w:numId w:val="1004"/>
        </w:numPr>
        <w:pStyle w:val="Compact"/>
      </w:pPr>
      <w:r>
        <w:t xml:space="preserve">Vertical typography can be explored in artistic headers to echo traditional scroll aesthetics.</w:t>
      </w:r>
    </w:p>
    <w:bookmarkEnd w:id="23"/>
    <w:bookmarkStart w:id="24" w:name="method-heading"/>
    <w:p>
      <w:pPr>
        <w:pStyle w:val="Heading2"/>
      </w:pPr>
      <w:r>
        <w:t xml:space="preserve">Methodology: Localized User Research</w:t>
      </w:r>
    </w:p>
    <w:p>
      <w:pPr>
        <w:pStyle w:val="FirstParagraph"/>
      </w:pPr>
      <w:r>
        <w:t xml:space="preserve">To ensure our designs resonate, we employed a mixed-methods approach involving users in Japan and international visitors to Kyoto.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Ethnographic Observation:</w:t>
      </w:r>
      <w:r>
        <w:t xml:space="preserve"> </w:t>
      </w:r>
      <w:r>
        <w:t xml:space="preserve">Observing how tourists navigate physical maps versus digital guides within historical sites like Arashiyama.</w:t>
      </w:r>
    </w:p>
    <w:p>
      <w:pPr>
        <w:numPr>
          <w:ilvl w:val="0"/>
          <w:numId w:val="1005"/>
        </w:numPr>
        <w:pStyle w:val="Compact"/>
      </w:pPr>
      <w:hyperlink w:anchor="citation-note">
        <w:r>
          <w:rPr>
            <w:rStyle w:val="Hyperlink"/>
          </w:rPr>
          <w:t xml:space="preserve">*</w:t>
        </w:r>
      </w:hyperlink>
      <w:r>
        <w:t xml:space="preserve">**Contextual Inquiry: Interviewing local artisans to understand their pain points in marketing their craft digitally.</w:t>
      </w:r>
    </w:p>
    <w:p>
      <w:pPr>
        <w:pStyle w:val="FirstParagraph"/>
      </w:pPr>
      <w:r>
        <w:t xml:space="preserve">The data revealed a common need for "calm technology"—interfaces that do not demand constant attention but provide information when needed, respecting the user's physical experience of Kyoto.</w:t>
      </w:r>
    </w:p>
    <w:bookmarkEnd w:id="24"/>
    <w:bookmarkStart w:id="25" w:name="case-heading"/>
    <w:p>
      <w:pPr>
        <w:pStyle w:val="Heading2"/>
      </w:pPr>
      <w:r>
        <w:t xml:space="preserve">Case Study: Augmented Reality in Fushimi Inari</w:t>
      </w:r>
    </w:p>
    <w:p>
      <w:pPr>
        <w:pStyle w:val="FirstParagraph"/>
      </w:pPr>
      <w:r>
        <w:t xml:space="preserve">We piloted a UX UI prototype for the Fushimi Inari Taisha shrine.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The Challenge:</w:t>
      </w:r>
      <w:r>
        <w:t xml:space="preserve"> </w:t>
      </w:r>
      <w:r>
        <w:t xml:space="preserve">Preserving the spiritual sanctity of the path while providing educational content about Shinto rituals.</w:t>
      </w:r>
    </w:p>
    <w:p>
      <w:pPr>
        <w:numPr>
          <w:ilvl w:val="0"/>
          <w:numId w:val="1006"/>
        </w:numPr>
        <w:pStyle w:val="Compact"/>
      </w:pPr>
      <w:hyperlink w:anchor="citation-note">
        <w:r>
          <w:rPr>
            <w:rStyle w:val="Hyperlink"/>
          </w:rPr>
          <w:t xml:space="preserve">*</w:t>
        </w:r>
      </w:hyperlink>
      <w:r>
        <w:t xml:space="preserve">**The Solution: A minimalist AR overlay that activates only when a user pauses for more than three seconds (Ma). The UI is invisible by default, appearing as subtle translucent text upon request.</w:t>
      </w:r>
    </w:p>
    <w:p>
      <w:pPr>
        <w:pStyle w:val="FirstParagraph"/>
      </w:pPr>
      <w:r>
        <w:t xml:space="preserve">This approach prevents digital distraction from the physical beauty of the Torii gates, aligning technology with the cultural value of mindfulness.</w:t>
      </w:r>
    </w:p>
    <w:bookmarkEnd w:id="25"/>
    <w:bookmarkStart w:id="26" w:name="conc-heading"/>
    <w:p>
      <w:pPr>
        <w:pStyle w:val="Heading2"/>
      </w:pPr>
      <w:r>
        <w:t xml:space="preserve">Conclusion and Future Implications</w:t>
      </w:r>
    </w:p>
    <w:p>
      <w:pPr>
        <w:pStyle w:val="FirstParagraph"/>
      </w:pPr>
      <w:r>
        <w:t xml:space="preserve">The synthesis of traditional Japanese aesthetics with modern digital design offers a unique opportunity for innovation in user experience.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Sensitivity as a Feature:</w:t>
      </w:r>
      <w:r>
        <w:t xml:space="preserve"> </w:t>
      </w:r>
      <w:r>
        <w:t xml:space="preserve">For UX UI Designers operating in Japan, cultural sensitivity is not just ethical; it is functional.</w:t>
      </w:r>
    </w:p>
    <w:p>
      <w:pPr>
        <w:numPr>
          <w:ilvl w:val="0"/>
          <w:numId w:val="1007"/>
        </w:numPr>
        <w:pStyle w:val="Compact"/>
      </w:pPr>
      <w:hyperlink w:anchor="citation-note">
        <w:r>
          <w:rPr>
            <w:rStyle w:val="Hyperlink"/>
          </w:rPr>
          <w:t xml:space="preserve">*</w:t>
        </w:r>
      </w:hyperlink>
      <w:r>
        <w:t xml:space="preserve">**Scalability: These principles of Ma and Omotenashi can be applied to other digital services across the country, enhancing overall user satisfaction in Japan.</w:t>
      </w:r>
    </w:p>
    <w:p>
      <w:pPr>
        <w:pStyle w:val="FirstParagraph"/>
      </w:pPr>
      <w:r>
        <w:t xml:space="preserve">We invite further research into how these design philosophies can influence global UX standards, moving away from aggressive engagement metrics toward respectful, mindful interaction.</w:t>
      </w:r>
    </w:p>
    <w:bookmarkEnd w:id="26"/>
    <w:p>
      <w:pPr>
        <w:pStyle w:val="BodyText"/>
      </w:pPr>
      <w:r>
        <w:t xml:space="preserve">© 2023 Academic Research Group. Designed for the Japan Kyoto Cultural Tech Symposium.*</w:t>
      </w:r>
    </w:p>
    <w:bookmarkStart w:id="27" w:name="citation-note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Akigumi: Bridging Tradition and Digital Future in Japan Kyoto</dc:title>
  <dc:creator/>
  <dc:language>en</dc:language>
  <cp:keywords/>
  <dcterms:created xsi:type="dcterms:W3CDTF">2026-07-29T18:06:03Z</dcterms:created>
  <dcterms:modified xsi:type="dcterms:W3CDTF">2026-07-29T18:06:03Z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scale=1.0</vt:lpwstr>
  </property>
</Properties>
</file>