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Japan</w:t>
      </w:r>
      <w:r>
        <w:t xml:space="preserve"> </w:t>
      </w:r>
      <w:r>
        <w:t xml:space="preserve">-</w:t>
      </w:r>
      <w:r>
        <w:t xml:space="preserve"> </w:t>
      </w:r>
      <w:r>
        <w:t xml:space="preserve">Tokyo</w:t>
      </w:r>
      <w:r>
        <w:t xml:space="preserve"> </w:t>
      </w:r>
      <w:r>
        <w:t xml:space="preserve">Context</w:t>
      </w:r>
    </w:p>
    <w:bookmarkStart w:id="27" w:name="X8cae867134cf3a9052c2137bb7e03faba521348"/>
    <w:p>
      <w:pPr>
        <w:pStyle w:val="Heading1"/>
      </w:pPr>
      <w:r>
        <w:t xml:space="preserve">Bridging Tradition and Innovation: A Comprehensive Analysis of UX/UI Design Practices in Japan, Focusing on Tokyo</w:t>
      </w:r>
    </w:p>
    <w:p>
      <w:pPr>
        <w:pStyle w:val="FirstParagraph"/>
      </w:pPr>
      <w:r>
        <w:rPr>
          <w:bCs/>
          <w:b/>
        </w:rPr>
        <w:t xml:space="preserve">Abstract:</w:t>
      </w:r>
    </w:p>
    <w:p>
      <w:pPr>
        <w:pStyle w:val="BodyText"/>
      </w:pPr>
      <w:r>
        <w:t xml:space="preserve">This poster presentation explores the unique landscape of User Experience (UX) and User Interface (UI) design within the context of Japan, with a specific geographical and cultural focus on Tokyo. As a global technological hub, Tokyo presents a distinct set of challenges and opportunities for designers. This document analyzes how Japanese cultural values—such as</w:t>
      </w:r>
      <w:r>
        <w:t xml:space="preserve"> </w:t>
      </w:r>
      <w:r>
        <w:rPr>
          <w:iCs/>
          <w:i/>
        </w:rPr>
        <w:t xml:space="preserve">omotenashi</w:t>
      </w:r>
      <w:r>
        <w:t xml:space="preserve"> </w:t>
      </w:r>
      <w:r>
        <w:t xml:space="preserve">(hospitality), attention to detail (</w:t>
      </w:r>
      <w:r>
        <w:rPr>
          <w:iCs/>
          <w:i/>
        </w:rPr>
        <w:t xml:space="preserve">kizukai</w:t>
      </w:r>
      <w:r>
        <w:t xml:space="preserve">), and aesthetic minimalism versus information density—directly influence design paradigms. We argue that successful UX/UI in Tokyo requires a departure from Western-centric design principles, advocating for a hybrid approach that respects local digital literacy while embracing global accessibility standards.</w:t>
      </w:r>
    </w:p>
    <w:bookmarkStart w:id="20" w:name="introduction-the-tokyo-digital-ecosystem"/>
    <w:p>
      <w:pPr>
        <w:pStyle w:val="Heading2"/>
      </w:pPr>
      <w:r>
        <w:t xml:space="preserve">1. Introduction: The Tokyo Digital Ecosystem</w:t>
      </w:r>
    </w:p>
    <w:p>
      <w:pPr>
        <w:pStyle w:val="FirstParagraph"/>
      </w:pPr>
      <w:r>
        <w:t xml:space="preserve">Tokyo is not merely a city; it is the epicenter of Japan’s technological evolution. For UX/UI designers operating in this region, understanding the local digital ecosystem is paramount. Unlike Silicon Valley or European markets, where "less is more" often dictates minimalism, Tokyo’s digital landscape frequently embraces high information density. This phenomenon requires designers to navigate complex hierarchies of content without overwhelming the user.</w:t>
      </w:r>
    </w:p>
    <w:p>
      <w:pPr>
        <w:pStyle w:val="BodyText"/>
      </w:pPr>
      <w:r>
        <w:t xml:space="preserve">The primary objective of this presentation is to deconstruct these cultural nuances. By examining the intersection of traditional Japanese aesthetics and modern interaction design, we provide actionable insights for creating intuitive, culturally resonant interfaces in Japan’s capital.</w:t>
      </w:r>
    </w:p>
    <w:bookmarkEnd w:id="20"/>
    <w:bookmarkStart w:id="21" w:name="cultural-foundations-influencing-uxui"/>
    <w:p>
      <w:pPr>
        <w:pStyle w:val="Heading2"/>
      </w:pPr>
      <w:r>
        <w:t xml:space="preserve">2. Cultural Foundations Influencing UX/UI</w:t>
      </w:r>
    </w:p>
    <w:p>
      <w:pPr>
        <w:pStyle w:val="FirstParagraph"/>
      </w:pPr>
      <w:r>
        <w:t xml:space="preserve">Cultural psychology plays a pivotal role in shaping user expectations. Three core concepts define the Japanese approach to technology:</w:t>
      </w:r>
    </w:p>
    <w:p>
      <w:pPr>
        <w:numPr>
          <w:ilvl w:val="0"/>
          <w:numId w:val="1001"/>
        </w:numPr>
        <w:pStyle w:val="Compact"/>
      </w:pPr>
      <w:r>
        <w:t xml:space="preserve">Omotenashi (Hospitality):</w:t>
      </w:r>
      <w:r>
        <w:t xml:space="preserve">In Tokyo, service extends beyond physical spaces into digital realms. UX must anticipate needs before they are articulated. A well-designed interface in this context is one that proactively guides the user, reducing cognitive load and friction.</w:t>
      </w:r>
    </w:p>
    <w:p>
      <w:pPr>
        <w:numPr>
          <w:ilvl w:val="0"/>
          <w:numId w:val="1001"/>
        </w:numPr>
        <w:pStyle w:val="Compact"/>
      </w:pPr>
      <w:r>
        <w:t xml:space="preserve">Kizukai (Awareness):</w:t>
      </w:r>
      <w:r>
        <w:t xml:space="preserve">This refers to situational awareness and attention to detail. In UI design, this translates to micro-interactions, precise typography, and flawless responsiveness. Users in Tokyo are highly attuned to errors or inconsistencies; thus, polish is not optional but essential.</w:t>
      </w:r>
    </w:p>
    <w:p>
      <w:pPr>
        <w:numPr>
          <w:ilvl w:val="0"/>
          <w:numId w:val="1001"/>
        </w:numPr>
        <w:pStyle w:val="Compact"/>
      </w:pPr>
      <w:r>
        <w:t xml:space="preserve">Wa (Harmony):</w:t>
      </w:r>
      <w:r>
        <w:t xml:space="preserve">The balance between form and function. While Western design often prioritizes utility first, Japanese design seeks harmony between aesthetic beauty and functional clarity. This dual requirement complicates the design process but results in highly refined user experiences.</w:t>
      </w:r>
    </w:p>
    <w:bookmarkEnd w:id="21"/>
    <w:bookmarkStart w:id="22" w:name="the-paradox-of-information-density"/>
    <w:p>
      <w:pPr>
        <w:pStyle w:val="Heading2"/>
      </w:pPr>
      <w:r>
        <w:t xml:space="preserve">3. The Paradox of Information Density</w:t>
      </w:r>
    </w:p>
    <w:p>
      <w:pPr>
        <w:pStyle w:val="FirstParagraph"/>
      </w:pPr>
      <w:r>
        <w:t xml:space="preserve">A frequent point of confusion for international designers is the high density of text and imagery found in Japanese websites and apps, particularly in Tokyo’s e-commerce and banking sectors. Contrary to Western preferences for whitespace, Japanese users often perceive dense information as trustworthy and comprehensive.</w:t>
      </w:r>
    </w:p>
    <w:p>
      <w:pPr>
        <w:pStyle w:val="BodyText"/>
      </w:pPr>
      <w:r>
        <w:rPr>
          <w:bCs/>
          <w:b/>
        </w:rPr>
        <w:t xml:space="preserve">Design Implication:</w:t>
      </w:r>
    </w:p>
    <w:p>
      <w:pPr>
        <w:numPr>
          <w:ilvl w:val="0"/>
          <w:numId w:val="1002"/>
        </w:numPr>
        <w:pStyle w:val="Compact"/>
      </w:pPr>
      <w:r>
        <w:rPr>
          <w:bCs/>
          <w:b/>
        </w:rPr>
        <w:t xml:space="preserve">Mash-up Style Interfaces:</w:t>
      </w:r>
      <w:r>
        <w:t xml:space="preserve">Tokyo interfaces often utilize a "mash-up" layout, aggregating multiple services (news, weather, shopping) into a single dashboard. UX designers must create modular components that allow for high information retention without sacrificing navigability.</w:t>
      </w:r>
    </w:p>
    <w:p>
      <w:pPr>
        <w:numPr>
          <w:ilvl w:val="0"/>
          <w:numId w:val="1002"/>
        </w:numPr>
        <w:pStyle w:val="Compact"/>
      </w:pPr>
      <w:r>
        <w:rPr>
          <w:bCs/>
          <w:b/>
        </w:rPr>
        <w:t xml:space="preserve">Visual Cues over Text:</w:t>
      </w:r>
      <w:r>
        <w:t xml:space="preserve">To mitigate cognitive overload while maintaining density, effective UI designs in Tokyo rely heavily on visual icons and color coding rather than extensive explanatory text.</w:t>
      </w:r>
    </w:p>
    <w:bookmarkEnd w:id="22"/>
    <w:bookmarkStart w:id="23" w:name="typography-and-language-considerations"/>
    <w:p>
      <w:pPr>
        <w:pStyle w:val="Heading2"/>
      </w:pPr>
      <w:r>
        <w:t xml:space="preserve">4. Typography and Language Considerations</w:t>
      </w:r>
    </w:p>
    <w:p>
      <w:pPr>
        <w:pStyle w:val="FirstParagraph"/>
      </w:pPr>
      <w:r>
        <w:t xml:space="preserve">The Japanese language poses unique typographic challenges due to the use of three scripts: Hiragana, Katakana, and Kanji. In Tokyo’s digital environment, font choice is critical for readability and tone.</w:t>
      </w:r>
    </w:p>
    <w:p>
      <w:pPr>
        <w:numPr>
          <w:ilvl w:val="0"/>
          <w:numId w:val="1003"/>
        </w:numPr>
        <w:pStyle w:val="Compact"/>
      </w:pPr>
      <w:r>
        <w:rPr>
          <w:bCs/>
          <w:b/>
        </w:rPr>
        <w:t xml:space="preserve">Noto Sans JP &amp; Meiryo:</w:t>
      </w:r>
      <w:r>
        <w:t xml:space="preserve">These are standard fonts that ensure cross-platform compatibility. However, modern UI design in trendy districts like Shibuya or Minato is shifting toward sans-serif fonts that convey a global, contemporary aesthetic.</w:t>
      </w:r>
    </w:p>
    <w:p>
      <w:pPr>
        <w:numPr>
          <w:ilvl w:val="0"/>
          <w:numId w:val="1003"/>
        </w:numPr>
        <w:pStyle w:val="Compact"/>
      </w:pPr>
      <w:r>
        <w:rPr>
          <w:bCs/>
          <w:b/>
        </w:rPr>
        <w:t xml:space="preserve">Kana vs. Kanji Balance:</w:t>
      </w:r>
      <w:r>
        <w:t xml:space="preserve">A good balance between Kana (phonetic) and Kanji (logographic) characters ensures rhythm in reading. UI text must be legible at small sizes on mobile devices, requiring careful kerning and line-height adjustments specific to vertical writing modes.</w:t>
      </w:r>
    </w:p>
    <w:bookmarkEnd w:id="23"/>
    <w:bookmarkStart w:id="24" w:name="mobile-first-and-the-line-ecosystem"/>
    <w:p>
      <w:pPr>
        <w:pStyle w:val="Heading2"/>
      </w:pPr>
      <w:r>
        <w:t xml:space="preserve">5. Mobile-First and the LINE Ecosystem</w:t>
      </w:r>
    </w:p>
    <w:p>
      <w:pPr>
        <w:pStyle w:val="FirstParagraph"/>
      </w:pPr>
      <w:r>
        <w:t xml:space="preserve">In Tokyo, the smartphone is the primary gateway to digital services. The dominance of Super Apps, particularly LINE (a messaging platform that functions as an operating system for daily life), dictates UX strategies.</w:t>
      </w:r>
    </w:p>
    <w:p>
      <w:pPr>
        <w:numPr>
          <w:ilvl w:val="0"/>
          <w:numId w:val="1004"/>
        </w:numPr>
        <w:pStyle w:val="Compact"/>
      </w:pPr>
      <w:r>
        <w:rPr>
          <w:bCs/>
          <w:b/>
        </w:rPr>
        <w:t xml:space="preserve">In-App Experiences:</w:t>
      </w:r>
      <w:r>
        <w:t xml:space="preserve">A significant portion of user interaction occurs within LINE Mini Apps rather than standalone websites or native iOS/Android apps. Designers must adapt their UI to fit the constraints and visual language of the LINE platform.</w:t>
      </w:r>
    </w:p>
    <w:p>
      <w:pPr>
        <w:numPr>
          <w:ilvl w:val="0"/>
          <w:numId w:val="1004"/>
        </w:numPr>
        <w:pStyle w:val="Compact"/>
      </w:pPr>
      <w:r>
        <w:t xml:space="preserve">Pocket Banking and QR Codes:</w:t>
      </w:r>
    </w:p>
    <w:p>
      <w:pPr>
        <w:numPr>
          <w:ilvl w:val="0"/>
          <w:numId w:val="1000"/>
        </w:numPr>
        <w:pStyle w:val="Compact"/>
      </w:pPr>
      <w:r>
        <w:t xml:space="preserve">Tokyo has largely bypassed credit card culture in favor of QR code payments (PayPay, LINE Pay). UX flows must prioritize quick scanning, instant confirmation, and seamless integration with loyalty points systems.</w:t>
      </w:r>
    </w:p>
    <w:bookmarkEnd w:id="24"/>
    <w:bookmarkStart w:id="25" w:name="accessibility-and-inclusivity"/>
    <w:p>
      <w:pPr>
        <w:pStyle w:val="Heading2"/>
      </w:pPr>
      <w:r>
        <w:t xml:space="preserve">6. Accessibility and Inclusivity</w:t>
      </w:r>
    </w:p>
    <w:p>
      <w:pPr>
        <w:pStyle w:val="FirstParagraph"/>
      </w:pPr>
      <w:r>
        <w:t xml:space="preserve">Japan has an aging population, which significantly influences design requirements in Tokyo. Accessibility is not just a compliance issue but a market necessity.</w:t>
      </w:r>
    </w:p>
    <w:p>
      <w:pPr>
        <w:numPr>
          <w:ilvl w:val="0"/>
          <w:numId w:val="1005"/>
        </w:numPr>
        <w:pStyle w:val="Compact"/>
      </w:pPr>
      <w:r>
        <w:rPr>
          <w:bCs/>
          <w:b/>
        </w:rPr>
        <w:t xml:space="preserve">Larger Touch Targets:</w:t>
      </w:r>
      <w:r>
        <w:t xml:space="preserve">Increasing button sizes and spacing to accommodate users with reduced motor dexterity.</w:t>
      </w:r>
    </w:p>
    <w:p>
      <w:pPr>
        <w:numPr>
          <w:ilvl w:val="0"/>
          <w:numId w:val="1005"/>
        </w:numPr>
        <w:pStyle w:val="Compact"/>
      </w:pPr>
      <w:r>
        <w:rPr>
          <w:bCs/>
          <w:b/>
        </w:rPr>
        <w:t xml:space="preserve">High Contrast Modes:</w:t>
      </w:r>
      <w:r>
        <w:t xml:space="preserve">Simplifying color palettes for users with visual impairments, a demographic that is growing rapidly in the Tokyo metropolitan area.</w:t>
      </w:r>
    </w:p>
    <w:bookmarkEnd w:id="25"/>
    <w:bookmarkStart w:id="26" w:name="conclusion-and-recommendations"/>
    <w:p>
      <w:pPr>
        <w:pStyle w:val="Heading2"/>
      </w:pPr>
      <w:r>
        <w:t xml:space="preserve">7. Conclusion and Recommendations</w:t>
      </w:r>
    </w:p>
    <w:p>
      <w:pPr>
        <w:pStyle w:val="FirstParagraph"/>
      </w:pPr>
      <w:r>
        <w:t xml:space="preserve">To succeed as a UX/UI designer in Japan, specifically in Tokyo, one must move beyond translation and embrace localization. The data suggests that successful design is:</w:t>
      </w:r>
    </w:p>
    <w:p>
      <w:pPr>
        <w:numPr>
          <w:ilvl w:val="0"/>
          <w:numId w:val="1006"/>
        </w:numPr>
        <w:pStyle w:val="Compact"/>
      </w:pPr>
      <w:r>
        <w:rPr>
          <w:bCs/>
          <w:b/>
        </w:rPr>
        <w:t xml:space="preserve">Culturally Humble:</w:t>
      </w:r>
      <w:r>
        <w:t xml:space="preserve">Acknowledging that user expectations differ from Western norms.</w:t>
      </w:r>
    </w:p>
    <w:p>
      <w:pPr>
        <w:numPr>
          <w:ilvl w:val="0"/>
          <w:numId w:val="1006"/>
        </w:numPr>
        <w:pStyle w:val="Compact"/>
      </w:pPr>
      <w:r>
        <w:rPr>
          <w:bCs/>
          <w:b/>
        </w:rPr>
        <w:t xml:space="preserve">Technologically Adaptive:</w:t>
      </w:r>
      <w:r>
        <w:t xml:space="preserve">Leveraging the LINE ecosystem and mobile-first paradigms.</w:t>
      </w:r>
    </w:p>
    <w:p>
      <w:pPr>
        <w:numPr>
          <w:ilvl w:val="0"/>
          <w:numId w:val="1006"/>
        </w:numPr>
        <w:pStyle w:val="Compact"/>
      </w:pPr>
      <w:r>
        <w:rPr>
          <w:bCs/>
          <w:b/>
        </w:rPr>
        <w:t xml:space="preserve">Meticulously Crafted:</w:t>
      </w:r>
      <w:r>
        <w:t xml:space="preserve">Paying attention to micro-interactions, typography, and visual harmony.</w:t>
      </w:r>
    </w:p>
    <w:p>
      <w:pPr>
        <w:pStyle w:val="FirstParagraph"/>
      </w:pPr>
      <w:r>
        <w:t xml:space="preserve">We recommend that international firms entering the Tokyo market collaborate with local UX researchers to validate assumptions. By respecting the nuanced digital etiquette of Japan’s capital, designers can create experiences that are not only functional but deeply resonant with Japanese users.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Japan - Tokyo Context</dc:title>
  <dc:creator/>
  <dc:language>en</dc:language>
  <cp:keywords/>
  <dcterms:created xsi:type="dcterms:W3CDTF">2026-07-29T15:11:52Z</dcterms:created>
  <dcterms:modified xsi:type="dcterms:W3CDTF">2026-07-29T15:11:52Z</dcterms:modified>
</cp:coreProperties>
</file>

<file path=docProps/custom.xml><?xml version="1.0" encoding="utf-8"?>
<Properties xmlns="http://schemas.openxmlformats.org/officeDocument/2006/custom-properties" xmlns:vt="http://schemas.openxmlformats.org/officeDocument/2006/docPropsVTypes"/>
</file>