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01bec4e38eef5a2c83e2cc95275d33862963308"/>
    <w:p>
      <w:pPr>
        <w:pStyle w:val="Heading1"/>
      </w:pPr>
      <w:r>
        <w:t xml:space="preserve">Cultivating Digital Empathy: The Role of the UX/UI Designer in the Modern Moroccan Economy</w:t>
      </w:r>
    </w:p>
    <w:p>
      <w:pPr>
        <w:pStyle w:val="FirstParagraph"/>
      </w:pPr>
      <w:r>
        <w:t xml:space="preserve">Presented at the Academic Symposium on Digital Transformation</w:t>
      </w:r>
      <w:r>
        <w:br/>
      </w:r>
      <w:r>
        <w:rPr>
          <w:bCs/>
          <w:b/>
        </w:rPr>
        <w:t xml:space="preserve">Focal Point:</w:t>
      </w:r>
      <w:r>
        <w:t xml:space="preserve"> </w:t>
      </w:r>
      <w:r>
        <w:t xml:space="preserve">Casablanca, Morocco</w:t>
      </w:r>
    </w:p>
    <w:bookmarkEnd w:id="20"/>
    <w:bookmarkStart w:id="21" w:name="abstract"/>
    <w:p>
      <w:pPr>
        <w:pStyle w:val="Heading2"/>
      </w:pPr>
      <w:r>
        <w:t xml:space="preserve">Abstract</w:t>
      </w:r>
    </w:p>
    <w:p>
      <w:pPr>
        <w:pStyle w:val="FirstParagraph"/>
      </w:pPr>
      <w:r>
        <w:t xml:space="preserve">This presentation explores the critical evolution of the</w:t>
      </w:r>
      <w:r>
        <w:t xml:space="preserve"> </w:t>
      </w:r>
      <w:r>
        <w:rPr>
          <w:bCs/>
          <w:b/>
        </w:rPr>
        <w:t xml:space="preserve">User Experience (UX) and User Interface (UI) Designer</w:t>
      </w:r>
      <w:r>
        <w:t xml:space="preserve"> </w:t>
      </w:r>
      <w:r>
        <w:t xml:space="preserve">role within the rapidly expanding digital ecosystem of Casablanca, Morocco. As Casablanca cements its status as a primary business hub in North Africa, there is an urgent need to understand how design thinking can bridge cultural heritage with global digital standards. This academic poster outlines the unique challenges and opportunities facing designers in this specific geographic context, arguing that effective UX/UI design is not merely an aesthetic choice but a fundamental driver of economic inclusion and user trust in the Maghreb region.</w:t>
      </w:r>
    </w:p>
    <w:bookmarkEnd w:id="21"/>
    <w:bookmarkStart w:id="23" w:name="introduction"/>
    <w:bookmarkStart w:id="22" w:name="introduction-the-casablanca-context"/>
    <w:p>
      <w:pPr>
        <w:pStyle w:val="Heading2"/>
      </w:pPr>
      <w:r>
        <w:t xml:space="preserve">Introduction: The Casablanca Context</w:t>
      </w:r>
    </w:p>
    <w:p>
      <w:pPr>
        <w:pStyle w:val="FirstParagraph"/>
      </w:pPr>
      <w:r>
        <w:t xml:space="preserve">Morocco’s capital of business, Casablanca, is undergoing a significant digital transformation. From fintech startups in the Hay Hassani area to e-commerce platforms catering to diverse demographics, the demand for intuitive digital products has never been higher. However, the implementation of standard global UX/UI frameworks often fails when applied without local cultural consideration.</w:t>
      </w:r>
    </w:p>
    <w:p>
      <w:pPr>
        <w:pStyle w:val="BodyText"/>
      </w:pPr>
      <w:r>
        <w:t xml:space="preserve">The</w:t>
      </w:r>
      <w:r>
        <w:t xml:space="preserve"> </w:t>
      </w:r>
      <w:r>
        <w:rPr>
          <w:bCs/>
          <w:b/>
        </w:rPr>
        <w:t xml:space="preserve">UX/UI Designer</w:t>
      </w:r>
      <w:r>
        <w:t xml:space="preserve"> </w:t>
      </w:r>
      <w:r>
        <w:t xml:space="preserve">in this context serves as a cultural translator. They must navigate a landscape where users range from tech-savvy youth in Ain Diab to older generations relying on mobile banking for the first time. This presentation posits that successful design in Casablanca requires a deep understanding of local linguistic nuances (Arabic, French, and Amazigh), varying levels of digital literacy, and specific behavioral patterns unique to Moroccan consumers.</w:t>
      </w:r>
    </w:p>
    <w:bookmarkEnd w:id="22"/>
    <w:bookmarkEnd w:id="23"/>
    <w:bookmarkStart w:id="25" w:name="methodology"/>
    <w:bookmarkStart w:id="24" w:name="theoretical-framework-methodology"/>
    <w:p>
      <w:pPr>
        <w:pStyle w:val="Heading2"/>
      </w:pPr>
      <w:r>
        <w:t xml:space="preserve">Theoretical Framework &amp; Methodology</w:t>
      </w:r>
    </w:p>
    <w:p>
      <w:pPr>
        <w:pStyle w:val="FirstParagraph"/>
      </w:pPr>
      <w:r>
        <w:t xml:space="preserve">This analysis draws upon Human-Computer Interaction (HCI) principles adapted for cross-cultural usability. The study emphasizes:</w:t>
      </w:r>
    </w:p>
    <w:p>
      <w:pPr>
        <w:numPr>
          <w:ilvl w:val="0"/>
          <w:numId w:val="1001"/>
        </w:numPr>
        <w:pStyle w:val="Compact"/>
      </w:pPr>
      <w:r>
        <w:rPr>
          <w:bCs/>
          <w:b/>
        </w:rPr>
        <w:t xml:space="preserve">Cultural Dimensions in Design:</w:t>
      </w:r>
      <w:r>
        <w:t xml:space="preserve"> </w:t>
      </w:r>
      <w:r>
        <w:t xml:space="preserve">Analyzing how high-context communication styles in Moroccan culture influence interface clarity and navigation expectations.</w:t>
      </w:r>
    </w:p>
    <w:p>
      <w:pPr>
        <w:numPr>
          <w:ilvl w:val="0"/>
          <w:numId w:val="1001"/>
        </w:numPr>
        <w:pStyle w:val="Compact"/>
      </w:pPr>
      <w:r>
        <w:rPr>
          <w:bCs/>
          <w:b/>
        </w:rPr>
        <w:t xml:space="preserve">Linguistic Inclusivity:</w:t>
      </w:r>
      <w:r>
        <w:t xml:space="preserve"> </w:t>
      </w:r>
      <w:r>
        <w:t xml:space="preserve">The challenge of Right-to-Left (RTL) layout optimization for Arabic versus Left-to-Right (LTR) for French, and the UI implications of code-switching common in Moroccan digital interactions.</w:t>
      </w:r>
    </w:p>
    <w:p>
      <w:pPr>
        <w:numPr>
          <w:ilvl w:val="0"/>
          <w:numId w:val="1001"/>
        </w:numPr>
        <w:pStyle w:val="Compact"/>
      </w:pPr>
      <w:r>
        <w:rPr>
          <w:bCs/>
          <w:b/>
        </w:rPr>
        <w:t xml:space="preserve">Mobile-First Reality:</w:t>
      </w:r>
      <w:r>
        <w:t xml:space="preserve"> </w:t>
      </w:r>
      <w:r>
        <w:t xml:space="preserve">Given that the majority of internet traffic in Casablanca originates from mobile devices, UX strategies must prioritize responsive design over desktop-first approaches.</w:t>
      </w:r>
    </w:p>
    <w:bookmarkEnd w:id="24"/>
    <w:bookmarkEnd w:id="25"/>
    <w:bookmarkStart w:id="30" w:name="challenges"/>
    <w:bookmarkStart w:id="29" w:name="pain-points-for-the-modern-uxui-designer"/>
    <w:p>
      <w:pPr>
        <w:pStyle w:val="Heading2"/>
      </w:pPr>
      <w:r>
        <w:t xml:space="preserve">Pain Points for the Modern UX/UI Designer</w:t>
      </w:r>
    </w:p>
    <w:p>
      <w:pPr>
        <w:pStyle w:val="FirstParagraph"/>
      </w:pPr>
      <w:r>
        <w:t xml:space="preserve">The professional environment for a designer in Casablanca presents distinct hurdles that differ from Silicon Valley or European counterparts:</w:t>
      </w:r>
    </w:p>
    <w:bookmarkStart w:id="26" w:name="bridging-the-trust-gap"/>
    <w:p>
      <w:pPr>
        <w:pStyle w:val="Heading3"/>
      </w:pPr>
      <w:r>
        <w:t xml:space="preserve">1. Bridging the Trust Gap</w:t>
      </w:r>
    </w:p>
    <w:p>
      <w:pPr>
        <w:pStyle w:val="FirstParagraph"/>
      </w:pPr>
      <w:r>
        <w:t xml:space="preserve">In many emerging markets, digital fraud is a significant concern. A primary task for the UX/UI designer is creating interface elements that signal security and legitimacy—such as transparent pricing, clear return policies, and verified badges—to build user confidence in local e-commerce platforms.</w:t>
      </w:r>
    </w:p>
    <w:bookmarkEnd w:id="26"/>
    <w:bookmarkStart w:id="27" w:name="the-bilingual-interface-paradox"/>
    <w:p>
      <w:pPr>
        <w:pStyle w:val="Heading3"/>
      </w:pPr>
      <w:r>
        <w:t xml:space="preserve">2. The Bilingual Interface Paradox</w:t>
      </w:r>
    </w:p>
    <w:p>
      <w:pPr>
        <w:pStyle w:val="FirstParagraph"/>
      </w:pPr>
      <w:r>
        <w:t xml:space="preserve">Moroccans frequently switch between French (for business/tech) and Darija or Arabic (for daily communication). Designing a UI that accommodates this fluidity without cluttering the screen is a complex challenge. The designer must determine when to use formal Modern Standard Arabic versus colloquial dialects, and how to visually separate these languages within the same interface.</w:t>
      </w:r>
    </w:p>
    <w:bookmarkEnd w:id="27"/>
    <w:bookmarkStart w:id="28" w:name="digital-literacy-variance"/>
    <w:p>
      <w:pPr>
        <w:pStyle w:val="Heading3"/>
      </w:pPr>
      <w:r>
        <w:t xml:space="preserve">3. Digital Literacy Variance</w:t>
      </w:r>
    </w:p>
    <w:p>
      <w:pPr>
        <w:pStyle w:val="FirstParagraph"/>
      </w:pPr>
      <w:r>
        <w:t xml:space="preserve">The user base in Casablanca is not monolithic. UX research in this region must account for users who are "first-time" internet users. This requires simplified onboarding processes, extensive use of icons over text, and intuitive gestures that do not rely on prior tech knowledge.</w:t>
      </w:r>
    </w:p>
    <w:bookmarkEnd w:id="28"/>
    <w:bookmarkEnd w:id="29"/>
    <w:bookmarkEnd w:id="30"/>
    <w:bookmarkStart w:id="32" w:name="opportunities"/>
    <w:bookmarkStart w:id="31" w:name="opportunities-for-growth"/>
    <w:p>
      <w:pPr>
        <w:pStyle w:val="Heading2"/>
      </w:pPr>
      <w:r>
        <w:t xml:space="preserve">Opportunities for Growth</w:t>
      </w:r>
    </w:p>
    <w:p>
      <w:pPr>
        <w:pStyle w:val="FirstParagraph"/>
      </w:pPr>
      <w:r>
        <w:t xml:space="preserve">Despite these challenges, the role of the UX/UI Designer in Casablanca offers immense potential for impact:</w:t>
      </w:r>
    </w:p>
    <w:p>
      <w:pPr>
        <w:numPr>
          <w:ilvl w:val="0"/>
          <w:numId w:val="1002"/>
        </w:numPr>
        <w:pStyle w:val="Compact"/>
      </w:pPr>
      <w:r>
        <w:rPr>
          <w:bCs/>
          <w:b/>
        </w:rPr>
        <w:t xml:space="preserve">Economic Empowerment:</w:t>
      </w:r>
      <w:r>
        <w:t xml:space="preserve"> </w:t>
      </w:r>
      <w:r>
        <w:t xml:space="preserve">By designing accessible financial apps (Fintech), designers enable unbanked populations to participate in the formal economy.</w:t>
      </w:r>
    </w:p>
    <w:p>
      <w:pPr>
        <w:numPr>
          <w:ilvl w:val="0"/>
          <w:numId w:val="1002"/>
        </w:numPr>
        <w:pStyle w:val="Compact"/>
      </w:pPr>
      <w:r>
        <w:rPr>
          <w:bCs/>
          <w:b/>
        </w:rPr>
        <w:t xml:space="preserve">Tourism and Heritage:</w:t>
      </w:r>
      <w:r>
        <w:t xml:space="preserve"> </w:t>
      </w:r>
      <w:r>
        <w:t xml:space="preserve">UI designers have the opportunity to create immersive digital experiences that promote Moroccan tourism, blending traditional artistic motifs with modern web standards.</w:t>
      </w:r>
    </w:p>
    <w:p>
      <w:pPr>
        <w:numPr>
          <w:ilvl w:val="0"/>
          <w:numId w:val="1002"/>
        </w:numPr>
        <w:pStyle w:val="Compact"/>
      </w:pPr>
      <w:r>
        <w:rPr>
          <w:bCs/>
          <w:b/>
        </w:rPr>
        <w:t xml:space="preserve">Educational Technology (EdTech):</w:t>
      </w:r>
      <w:r>
        <w:t xml:space="preserve"> </w:t>
      </w:r>
      <w:r>
        <w:t xml:space="preserve">With a young population, there is a surge in demand for educational platforms. UX researchers can help tailor learning management systems (LMS) that are engaging for Moroccan students.</w:t>
      </w:r>
    </w:p>
    <w:bookmarkEnd w:id="31"/>
    <w:bookmarkEnd w:id="32"/>
    <w:bookmarkStart w:id="34" w:name="case-study"/>
    <w:bookmarkStart w:id="33" w:name="X53d891e3c20fb5f1569b19ace95c4cb9e41e3c8"/>
    <w:p>
      <w:pPr>
        <w:pStyle w:val="Heading2"/>
      </w:pPr>
      <w:r>
        <w:t xml:space="preserve">Preliminary Case Analysis: Local Fintech Adoption</w:t>
      </w:r>
    </w:p>
    <w:p>
      <w:pPr>
        <w:pStyle w:val="FirstParagraph"/>
      </w:pPr>
      <w:r>
        <w:t xml:space="preserve">A preliminary review of successful digital payment applications in Casablanca reveals a common thread: they prioritize simplicity over feature bloat. Users respond positively to interfaces that reduce the cognitive load required to complete transactions. For instance, minimizing the number of clicks required to confirm a transfer significantly increases completion rates among older demographics. This supports the hypothesis that</w:t>
      </w:r>
      <w:r>
        <w:t xml:space="preserve"> </w:t>
      </w:r>
      <w:r>
        <w:rPr>
          <w:bCs/>
          <w:b/>
        </w:rPr>
        <w:t xml:space="preserve">UX/UI Design</w:t>
      </w:r>
      <w:r>
        <w:t xml:space="preserve"> </w:t>
      </w:r>
      <w:r>
        <w:t xml:space="preserve">in Morocco must be empathetic and adaptive, rather than rigidly adhering to international trends.</w:t>
      </w:r>
    </w:p>
    <w:bookmarkEnd w:id="33"/>
    <w:bookmarkEnd w:id="34"/>
    <w:bookmarkStart w:id="36" w:name="conclusion"/>
    <w:bookmarkStart w:id="35" w:name="conclusion-and-recommendations"/>
    <w:p>
      <w:pPr>
        <w:pStyle w:val="Heading2"/>
      </w:pPr>
      <w:r>
        <w:t xml:space="preserve">Conclusion and Recommendations</w:t>
      </w:r>
    </w:p>
    <w:p>
      <w:pPr>
        <w:pStyle w:val="FirstParagraph"/>
      </w:pPr>
      <w:r>
        <w:t xml:space="preserve">The trajectory of digital innovation in Casablanca is inextricably linked to the quality of its user interfaces. As Morocco integrates further into the global digital economy, the role of the UX/UI Designer transcends visual aesthetics; it becomes a function of accessibility, cultural respect, and economic facilitation.</w:t>
      </w:r>
    </w:p>
    <w:p>
      <w:pPr>
        <w:pStyle w:val="BodyText"/>
      </w:pPr>
      <w:r>
        <w:t xml:space="preserve">We recommend that academic institutions in Casablanca strengthen their HCI curricula to include modules on cross-cultural design and Arabic script typography. Furthermore, local industry leaders must invest more rigorously in user research within the Moroccan context. By doing so, they will create digital products that not only compete globally but also resonate deeply with the local population.</w:t>
      </w:r>
    </w:p>
    <w:p>
      <w:pPr>
        <w:pStyle w:val="BodyText"/>
      </w:pPr>
      <w:r>
        <w:t xml:space="preserve">Ultimately, a well-designed interface is a bridge. In Casablanca, that bridge connects tradition to innovation, and it connects businesses to their customers in a way that feels natural, secure, and inclusive.</w:t>
      </w:r>
    </w:p>
    <w:bookmarkEnd w:id="35"/>
    <w:bookmarkEnd w:id="36"/>
    <w:bookmarkStart w:id="38" w:name="references"/>
    <w:bookmarkStart w:id="37" w:name="suggested-further-reading"/>
    <w:p>
      <w:pPr>
        <w:pStyle w:val="Heading2"/>
      </w:pPr>
      <w:r>
        <w:t xml:space="preserve">Suggested Further Reading</w:t>
      </w:r>
    </w:p>
    <w:p>
      <w:pPr>
        <w:numPr>
          <w:ilvl w:val="0"/>
          <w:numId w:val="1003"/>
        </w:numPr>
        <w:pStyle w:val="Compact"/>
      </w:pPr>
      <w:r>
        <w:t xml:space="preserve">Moro, S., et al. (2014). "Social Media Mining for Financial Sentiment Analysis." Journal of Big Data.</w:t>
      </w:r>
    </w:p>
    <w:p>
      <w:pPr>
        <w:numPr>
          <w:ilvl w:val="0"/>
          <w:numId w:val="1003"/>
        </w:numPr>
        <w:pStyle w:val="Compact"/>
      </w:pPr>
      <w:r>
        <w:t xml:space="preserve">Krug, S. (2014). "</w:t>
      </w:r>
      <w:r>
        <w:rPr>
          <w:bCs/>
          <w:b/>
        </w:rPr>
        <w:t xml:space="preserve">Dont Make Me Think</w:t>
      </w:r>
      <w:r>
        <w:t xml:space="preserve">, Revisited: A Common Sense Approach to Web Usability." New Riders.</w:t>
      </w:r>
    </w:p>
    <w:p>
      <w:pPr>
        <w:numPr>
          <w:ilvl w:val="0"/>
          <w:numId w:val="1003"/>
        </w:numPr>
        <w:pStyle w:val="Compact"/>
      </w:pPr>
      <w:r>
        <w:t xml:space="preserve">Hofstede Insights. "Culture Comparison: Morocco vs Global Average." Cultural Dimensions Theory Application.</w:t>
      </w:r>
    </w:p>
    <w:bookmarkEnd w:id="37"/>
    <w:bookmarkEnd w:id="38"/>
    <w:p>
      <w:pPr>
        <w:pStyle w:val="FirstParagraph"/>
      </w:pPr>
      <w:r>
        <w:rPr>
          <w:bCs/>
          <w:b/>
        </w:rPr>
        <w:t xml:space="preserve">Note to Attendees:</w:t>
      </w:r>
      <w:r>
        <w:t xml:space="preserve"> </w:t>
      </w:r>
      <w:r>
        <w:t xml:space="preserve">This poster presentation is designed for the Casablanca Academic Community. All case studies referenced are based on public data and general UX principles applied to the North African market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Casablanca: Bridging Tradition and Digital Innovation</dc:title>
  <dc:creator/>
  <dc:language>en</dc:language>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