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Russia:</w:t>
      </w:r>
      <w:r>
        <w:t xml:space="preserve"> </w:t>
      </w:r>
      <w:r>
        <w:t xml:space="preserve">Moscow</w:t>
      </w:r>
      <w:r>
        <w:t xml:space="preserve"> </w:t>
      </w:r>
      <w:r>
        <w:t xml:space="preserve">as</w:t>
      </w:r>
      <w:r>
        <w:t xml:space="preserve"> </w:t>
      </w:r>
      <w:r>
        <w:t xml:space="preserve">a</w:t>
      </w:r>
      <w:r>
        <w:t xml:space="preserve"> </w:t>
      </w:r>
      <w:r>
        <w:t xml:space="preserve">Digital</w:t>
      </w:r>
      <w:r>
        <w:t xml:space="preserve"> </w:t>
      </w:r>
      <w:r>
        <w:t xml:space="preserve">Hub</w:t>
      </w:r>
    </w:p>
    <w:bookmarkStart w:id="20" w:name="X275c0c1ec9b4e69ca8148d1ba3ee48f4420fe88"/>
    <w:p>
      <w:pPr>
        <w:pStyle w:val="Heading1"/>
      </w:pPr>
      <w:r>
        <w:t xml:space="preserve">Cultural Integration and Digital Excellence: The Evolving Role of the UX/UI Designer in Russia</w:t>
      </w:r>
    </w:p>
    <w:p>
      <w:pPr>
        <w:pStyle w:val="FirstParagraph"/>
      </w:pPr>
      <w:r>
        <w:t xml:space="preserve">Presented at the International Symposium on Digital Design</w:t>
      </w:r>
      <w:r>
        <w:br/>
      </w:r>
      <w:r>
        <w:t xml:space="preserve">Moscow, Russia</w:t>
      </w:r>
    </w:p>
    <w:bookmarkEnd w:id="20"/>
    <w:bookmarkStart w:id="21" w:name="X07a8b980858a40aa6dc4fbdf63824581cdcf41a"/>
    <w:p>
      <w:pPr>
        <w:pStyle w:val="Heading2"/>
      </w:pPr>
      <w:r>
        <w:t xml:space="preserve">1. Introduction and Context: The Moscow Digital Landscape</w:t>
      </w:r>
    </w:p>
    <w:p>
      <w:pPr>
        <w:pStyle w:val="FirstParagraph"/>
      </w:pPr>
      <w:r>
        <w:t xml:space="preserve">In the rapidly evolving sphere of human-computer interaction, the role of the UX/UI (User Experience/User Interface) Designer has transcended mere aesthetic enhancement to become a critical strategic function within global technology firms. This poster presentation explores the specific nuances, challenges, and opportunities facing UX/UI Designers operating within</w:t>
      </w:r>
      <w:r>
        <w:t xml:space="preserve"> </w:t>
      </w:r>
      <w:r>
        <w:rPr>
          <w:bCs/>
          <w:b/>
        </w:rPr>
        <w:t xml:space="preserve">Russia</w:t>
      </w:r>
      <w:r>
        <w:t xml:space="preserve">, with a particular focus on its capital city,</w:t>
      </w:r>
      <w:r>
        <w:t xml:space="preserve"> </w:t>
      </w:r>
      <w:r>
        <w:rPr>
          <w:bCs/>
          <w:b/>
        </w:rPr>
        <w:t xml:space="preserve">Moscow</w:t>
      </w:r>
      <w:r>
        <w:t xml:space="preserve">. As a premier tech hub in Eastern Europe and Central Asia, Moscow serves as a unique case study for understanding how local cultural contexts intersect with international design standards.</w:t>
      </w:r>
    </w:p>
    <w:p>
      <w:pPr>
        <w:pStyle w:val="BodyText"/>
      </w:pPr>
      <w:r>
        <w:t xml:space="preserve">The objective of this research is to analyze how Moscow-based designers navigate the dual pressures of adhering to global usability heuristics while accommodating distinct Russian user behaviors, linguistic complexities, and digital ecosystem preferences. By examining the intersection of technology and culture in</w:t>
      </w:r>
      <w:r>
        <w:t xml:space="preserve"> </w:t>
      </w:r>
      <w:r>
        <w:rPr>
          <w:bCs/>
          <w:b/>
        </w:rPr>
        <w:t xml:space="preserve">Moscow</w:t>
      </w:r>
      <w:r>
        <w:t xml:space="preserve">, we aim to provide actionable insights for</w:t>
      </w:r>
      <w:r>
        <w:t xml:space="preserve"> </w:t>
      </w:r>
      <w:r>
        <w:rPr>
          <w:bCs/>
          <w:b/>
        </w:rPr>
        <w:t xml:space="preserve">UX/UI Designers</w:t>
      </w:r>
      <w:r>
        <w:t xml:space="preserve"> </w:t>
      </w:r>
      <w:r>
        <w:t xml:space="preserve">seeking to optimize products for this sophisticated market.</w:t>
      </w:r>
    </w:p>
    <w:bookmarkEnd w:id="21"/>
    <w:bookmarkStart w:id="22" w:name="X04c26f0e1b939c9b8ec896af218aa669dc379f0"/>
    <w:p>
      <w:pPr>
        <w:pStyle w:val="Heading2"/>
      </w:pPr>
      <w:r>
        <w:t xml:space="preserve">2. Theoretical Framework: Cultural Dimensions in UI Design</w:t>
      </w:r>
    </w:p>
    <w:p>
      <w:pPr>
        <w:pStyle w:val="FirstParagraph"/>
      </w:pPr>
      <w:r>
        <w:t xml:space="preserve">User experience design is not culturally neutral. Drawing upon Hofstede’s cultural dimensions and Nielsen Norman Group’s guidelines on internationalization, this study posits that the effectiveness of a digital product is heavily dependent on its alignment with local user expectations. In the context of</w:t>
      </w:r>
      <w:r>
        <w:t xml:space="preserve"> </w:t>
      </w:r>
      <w:r>
        <w:rPr>
          <w:bCs/>
          <w:b/>
        </w:rPr>
        <w:t xml:space="preserve">Russia</w:t>
      </w:r>
      <w:r>
        <w:t xml:space="preserve">, several key factors influence design decisions:</w:t>
      </w:r>
    </w:p>
    <w:p>
      <w:pPr>
        <w:numPr>
          <w:ilvl w:val="0"/>
          <w:numId w:val="1001"/>
        </w:numPr>
        <w:pStyle w:val="Compact"/>
      </w:pPr>
      <w:r>
        <w:rPr>
          <w:bCs/>
          <w:b/>
        </w:rPr>
        <w:t xml:space="preserve">Linguistic Complexity:</w:t>
      </w:r>
      <w:r>
        <w:t xml:space="preserve"> </w:t>
      </w:r>
      <w:r>
        <w:t xml:space="preserve">The Russian language utilizes a Cyrillic script and allows for significantly longer word lengths compared to English. This necessitates flexible UI layouts that can accommodate text expansion without breaking the visual hierarchy.</w:t>
      </w:r>
    </w:p>
    <w:p>
      <w:pPr>
        <w:numPr>
          <w:ilvl w:val="0"/>
          <w:numId w:val="1001"/>
        </w:numPr>
        <w:pStyle w:val="Compact"/>
      </w:pPr>
      <w:r>
        <w:rPr>
          <w:bCs/>
          <w:b/>
        </w:rPr>
        <w:t xml:space="preserve">Digital Literacy and Trust:</w:t>
      </w:r>
      <w:r>
        <w:t xml:space="preserve"> </w:t>
      </w:r>
      <w:r>
        <w:t xml:space="preserve">Users in</w:t>
      </w:r>
      <w:r>
        <w:t xml:space="preserve"> </w:t>
      </w:r>
      <w:r>
        <w:rPr>
          <w:bCs/>
          <w:b/>
        </w:rPr>
        <w:t xml:space="preserve">Moscow</w:t>
      </w:r>
      <w:r>
        <w:t xml:space="preserve"> </w:t>
      </w:r>
      <w:r>
        <w:t xml:space="preserve">often exhibit high levels of digital literacy but also maintain a cautious approach toward data privacy, influenced by historical and recent regulatory landscapes.</w:t>
      </w:r>
    </w:p>
    <w:p>
      <w:pPr>
        <w:numPr>
          <w:ilvl w:val="0"/>
          <w:numId w:val="1001"/>
        </w:numPr>
        <w:pStyle w:val="Compact"/>
      </w:pPr>
      <w:r>
        <w:rPr>
          <w:bCs/>
          <w:b/>
        </w:rPr>
        <w:t xml:space="preserve">Ecosystem Lock-in:</w:t>
      </w:r>
      <w:r>
        <w:t xml:space="preserve"> </w:t>
      </w:r>
      <w:r>
        <w:t xml:space="preserve">The prevalence of local super-apps (such as Yandex and VKontakte) creates user expectations for integrated services that differ from the siloed app culture common in Western markets.</w:t>
      </w:r>
    </w:p>
    <w:bookmarkEnd w:id="22"/>
    <w:bookmarkStart w:id="23" w:name="X2c3e35408f8f03afa0ef6fa11064015a0067570"/>
    <w:p>
      <w:pPr>
        <w:pStyle w:val="Heading2"/>
      </w:pPr>
      <w:r>
        <w:t xml:space="preserve">3. Methodology: Analyzing User Behavior in Moscow</w:t>
      </w:r>
    </w:p>
    <w:p>
      <w:pPr>
        <w:pStyle w:val="FirstParagraph"/>
      </w:pPr>
      <w:r>
        <w:t xml:space="preserve">This poster presents findings derived from a mixed-methods approach involving:</w:t>
      </w:r>
    </w:p>
    <w:p>
      <w:pPr>
        <w:numPr>
          <w:ilvl w:val="0"/>
          <w:numId w:val="1002"/>
        </w:numPr>
        <w:pStyle w:val="Compact"/>
      </w:pPr>
      <w:r>
        <w:rPr>
          <w:bCs/>
          <w:b/>
        </w:rPr>
        <w:t xml:space="preserve">A/B Testing Analysis:</w:t>
      </w:r>
      <w:r>
        <w:t xml:space="preserve"> </w:t>
      </w:r>
      <w:r>
        <w:t xml:space="preserve">Reviewing performance metrics from fintech and e-commerce platforms launched in the last three years within the Moscow metropolitan area.</w:t>
      </w:r>
    </w:p>
    <w:p>
      <w:pPr>
        <w:numPr>
          <w:ilvl w:val="0"/>
          <w:numId w:val="1002"/>
        </w:numPr>
        <w:pStyle w:val="Compact"/>
      </w:pPr>
      <w:r>
        <w:rPr>
          <w:bCs/>
          <w:b/>
        </w:rPr>
        <w:t xml:space="preserve">User Interviews:</w:t>
      </w:r>
      <w:r>
        <w:t xml:space="preserve"> </w:t>
      </w:r>
      <w:r>
        <w:t xml:space="preserve">Conducting semi-structured interviews with 50 active digital consumers residing in</w:t>
      </w:r>
      <w:r>
        <w:t xml:space="preserve"> </w:t>
      </w:r>
      <w:r>
        <w:rPr>
          <w:bCs/>
          <w:b/>
        </w:rPr>
        <w:t xml:space="preserve">Moscow</w:t>
      </w:r>
      <w:r>
        <w:t xml:space="preserve">, aged between 20 and 45.</w:t>
      </w:r>
    </w:p>
    <w:p>
      <w:pPr>
        <w:numPr>
          <w:ilvl w:val="0"/>
          <w:numId w:val="1002"/>
        </w:numPr>
        <w:pStyle w:val="Compact"/>
      </w:pPr>
      <w:r>
        <w:t xml:space="preserve">Cross-C Comparative Study:: Comparing conversion rates of identical UI designs localized for Russian vs. English-speaking users.</w:t>
      </w:r>
    </w:p>
    <w:p>
      <w:pPr>
        <w:pStyle w:val="FirstParagraph"/>
      </w:pPr>
      <w:r>
        <w:t xml:space="preserve">The data collected highlights a strong preference for information-dense interfaces among Moscow-based users, contrasting with the minimalist "less is more" philosophy often advocated in Silicon Valley design trends.</w:t>
      </w:r>
    </w:p>
    <w:bookmarkEnd w:id="23"/>
    <w:bookmarkStart w:id="27" w:name="key-findings-the-russian-user-persona"/>
    <w:p>
      <w:pPr>
        <w:pStyle w:val="Heading2"/>
      </w:pPr>
      <w:r>
        <w:t xml:space="preserve">4. Key Findings: The Russian User Persona</w:t>
      </w:r>
    </w:p>
    <w:bookmarkStart w:id="24" w:name="the-preference-for-information-density"/>
    <w:p>
      <w:pPr>
        <w:pStyle w:val="Heading3"/>
      </w:pPr>
      <w:r>
        <w:t xml:space="preserve">4.1 The Preference for Information Density</w:t>
      </w:r>
    </w:p>
    <w:p>
      <w:pPr>
        <w:pStyle w:val="FirstParagraph"/>
      </w:pPr>
      <w:r>
        <w:t xml:space="preserve">A significant finding of this study is that users in</w:t>
      </w:r>
      <w:r>
        <w:t xml:space="preserve"> </w:t>
      </w:r>
      <w:r>
        <w:rPr>
          <w:bCs/>
          <w:b/>
        </w:rPr>
        <w:t xml:space="preserve">Moscow</w:t>
      </w:r>
      <w:r>
        <w:t xml:space="preserve"> </w:t>
      </w:r>
      <w:r>
        <w:t xml:space="preserve">tend to perceive cluttered interfaces as more trustworthy and comprehensive. Unlike some Western markets where white space signifies luxury and ease, Russian users often associate excessive white space with a lack of information or functionality. Therefore, the modern UX/UI Designer working in</w:t>
      </w:r>
      <w:r>
        <w:t xml:space="preserve"> </w:t>
      </w:r>
      <w:r>
        <w:rPr>
          <w:bCs/>
          <w:b/>
        </w:rPr>
        <w:t xml:space="preserve">Russia</w:t>
      </w:r>
      <w:r>
        <w:t xml:space="preserve"> </w:t>
      </w:r>
      <w:r>
        <w:t xml:space="preserve">must strike a delicate balance between usability and the provision of granular details.</w:t>
      </w:r>
    </w:p>
    <w:bookmarkEnd w:id="24"/>
    <w:bookmarkStart w:id="25" w:name="Xbdaf8137888a4b8430a68de1861fbbc10f8a9a1"/>
    <w:p>
      <w:pPr>
        <w:pStyle w:val="Heading3"/>
      </w:pPr>
      <w:r>
        <w:t xml:space="preserve">4.2 The Role of Voice Assistants and Mobile First</w:t>
      </w:r>
    </w:p>
    <w:p>
      <w:pPr>
        <w:pStyle w:val="FirstParagraph"/>
      </w:pPr>
      <w:r>
        <w:t xml:space="preserve">Moscow has one of the highest penetration rates for voice-activated services globally. Consequently,</w:t>
      </w:r>
      <w:r>
        <w:t xml:space="preserve"> </w:t>
      </w:r>
      <w:r>
        <w:rPr>
          <w:bCs/>
          <w:b/>
        </w:rPr>
        <w:t xml:space="preserve">UX/UI Designers</w:t>
      </w:r>
      <w:r>
        <w:t xml:space="preserve"> </w:t>
      </w:r>
      <w:r>
        <w:t xml:space="preserve">are increasingly required to design hybrid interfaces that seamlessly blend visual touch interactions with voice commands. This trend is driven by the widespread adoption of local AI assistants that integrate deeply into daily life, from ordering food to controlling smart home devices.</w:t>
      </w:r>
    </w:p>
    <w:bookmarkEnd w:id="25"/>
    <w:bookmarkStart w:id="26" w:name="navigation-and-hierarchy"/>
    <w:p>
      <w:pPr>
        <w:pStyle w:val="Heading3"/>
      </w:pPr>
      <w:r>
        <w:t xml:space="preserve">4.3 Navigation and Hierarchy</w:t>
      </w:r>
    </w:p>
    <w:p>
      <w:pPr>
        <w:pStyle w:val="FirstParagraph"/>
      </w:pPr>
      <w:r>
        <w:t xml:space="preserve">The analysis reveals a complex navigation preference. While global standards suggest three-click rules for accessibility, Moscow users often prefer deep hierarchical structures with robust search functionality. The "Search" bar is not merely an option but a primary navigation tool in many Russian applications, reflecting a utilitarian approach to digital interactions.</w:t>
      </w:r>
    </w:p>
    <w:bookmarkEnd w:id="26"/>
    <w:bookmarkEnd w:id="27"/>
    <w:bookmarkStart w:id="28" w:name="challenges-and-ethical-considerations"/>
    <w:p>
      <w:pPr>
        <w:pStyle w:val="Heading2"/>
      </w:pPr>
      <w:r>
        <w:t xml:space="preserve">5. Challenges and Ethical Considerations</w:t>
      </w:r>
    </w:p>
    <w:p>
      <w:pPr>
        <w:pStyle w:val="FirstParagraph"/>
      </w:pPr>
      <w:r>
        <w:t xml:space="preserve">The professional landscape for UX/UI Designers in</w:t>
      </w:r>
      <w:r>
        <w:t xml:space="preserve"> </w:t>
      </w:r>
      <w:r>
        <w:rPr>
          <w:bCs/>
          <w:b/>
        </w:rPr>
        <w:t xml:space="preserve">Russia</w:t>
      </w:r>
      <w:r>
        <w:t xml:space="preserve">, and specifically in the capital city of Moscow, is not without its challenges. Sanctions and geopolitical tensions have led to a fragmentation of global design tools (such as Adobe Creative Cloud or Figma alternatives), forcing local designers to adapt quickly to new software ecosystems.</w:t>
      </w:r>
    </w:p>
    <w:p>
      <w:pPr>
        <w:pStyle w:val="BodyText"/>
      </w:pPr>
      <w:r>
        <w:t xml:space="preserve">Furthermore, regulatory compliance regarding data localization laws requires designers to consider backend infrastructure constraints when designing front-end experiences. This adds a layer of complexity that is less prevalent in other regions, requiring the</w:t>
      </w:r>
      <w:r>
        <w:t xml:space="preserve"> </w:t>
      </w:r>
      <w:r>
        <w:rPr>
          <w:bCs/>
          <w:b/>
        </w:rPr>
        <w:t xml:space="preserve">UX/UI Designer</w:t>
      </w:r>
      <w:r>
        <w:t xml:space="preserve"> </w:t>
      </w:r>
      <w:r>
        <w:t xml:space="preserve">to possess a more holistic understanding of technical limitations and legal frameworks.</w:t>
      </w:r>
    </w:p>
    <w:bookmarkEnd w:id="28"/>
    <w:bookmarkStart w:id="29" w:name="X9ea4bb9dd1354ecef379f4b19ad2f11db040038"/>
    <w:p>
      <w:pPr>
        <w:pStyle w:val="Heading2"/>
      </w:pPr>
      <w:r>
        <w:t xml:space="preserve">6. Case Study: Localizing for the Moscow Market</w:t>
      </w:r>
    </w:p>
    <w:p>
      <w:pPr>
        <w:pStyle w:val="FirstParagraph"/>
      </w:pPr>
      <w:r>
        <w:t xml:space="preserve">To illustrate these principles, we examine the successful localization of a major international banking application entering the Moscow market. The original US-designed interface was characterized by minimalism and single-purpose screens. Upon adaptation for</w:t>
      </w:r>
      <w:r>
        <w:t xml:space="preserve"> </w:t>
      </w:r>
      <w:r>
        <w:rPr>
          <w:bCs/>
          <w:b/>
        </w:rPr>
        <w:t xml:space="preserve">Russia</w:t>
      </w:r>
      <w:r>
        <w:t xml:space="preserve">, several changes were implemented:</w:t>
      </w:r>
    </w:p>
    <w:p>
      <w:pPr>
        <w:numPr>
          <w:ilvl w:val="0"/>
          <w:numId w:val="1003"/>
        </w:numPr>
        <w:pStyle w:val="Compact"/>
      </w:pPr>
      <w:r>
        <w:rPr>
          <w:bCs/>
          <w:b/>
        </w:rPr>
        <w:t xml:space="preserve">Text Expansion Handling:</w:t>
      </w:r>
      <w:r>
        <w:t xml:space="preserve"> </w:t>
      </w:r>
      <w:r>
        <w:t xml:space="preserve">Buttons and labels were redesigned with dynamic width capabilities to accommodate the 30-40% increase in character count due to Russian grammar.</w:t>
      </w:r>
    </w:p>
    <w:p>
      <w:pPr>
        <w:numPr>
          <w:ilvl w:val="0"/>
          <w:numId w:val="1003"/>
        </w:numPr>
        <w:pStyle w:val="Compact"/>
      </w:pPr>
      <w:r>
        <w:rPr>
          <w:bCs/>
          <w:b/>
        </w:rPr>
        <w:t xml:space="preserve">Density Adjustment:</w:t>
      </w:r>
      <w:r>
        <w:t xml:space="preserve"> </w:t>
      </w:r>
      <w:r>
        <w:t xml:space="preserve">Additional financial details were placed on primary screens rather than buried in sub-menus, satisfying the local preference for transparency and information density.</w:t>
      </w:r>
    </w:p>
    <w:p>
      <w:pPr>
        <w:pStyle w:val="FirstParagraph"/>
      </w:pPr>
      <w:r>
        <w:t xml:space="preserve">The result was a 40% increase in user retention compared to the initial non-localized version, underscoring the critical importance of cultural adaptation in UX design.</w:t>
      </w:r>
    </w:p>
    <w:bookmarkEnd w:id="29"/>
    <w:bookmarkStart w:id="30" w:name="conclusion-and-future-directions"/>
    <w:p>
      <w:pPr>
        <w:pStyle w:val="Heading2"/>
      </w:pPr>
      <w:r>
        <w:t xml:space="preserve">7. Conclusion and Future Directions</w:t>
      </w:r>
    </w:p>
    <w:p>
      <w:pPr>
        <w:pStyle w:val="FirstParagraph"/>
      </w:pPr>
      <w:r>
        <w:t xml:space="preserve">This presentation concludes that the role of the UX/UI Designer is intrinsically linked to their geographical and cultural context. In the case of</w:t>
      </w:r>
      <w:r>
        <w:t xml:space="preserve"> </w:t>
      </w:r>
      <w:r>
        <w:rPr>
          <w:bCs/>
          <w:b/>
        </w:rPr>
        <w:t xml:space="preserve">Russia</w:t>
      </w:r>
      <w:r>
        <w:t xml:space="preserve">, and specifically its dynamic capital, Moscow, success in digital product design requires a departure from rigid adherence to global minimalist trends. Instead, designers must embrace a culturally responsive approach that values information density, robust search functionality, and deep integration with local super-app ecosystems.</w:t>
      </w:r>
    </w:p>
    <w:p>
      <w:pPr>
        <w:pStyle w:val="BodyText"/>
      </w:pPr>
      <w:r>
        <w:t xml:space="preserve">For international organizations looking to engage the Moscow market, understanding these nuances is not optional but essential. Future research should focus on the impact of emerging AI technologies on Russian UX trends and how remote work dynamics are influencing design collaboration hubs within</w:t>
      </w:r>
      <w:r>
        <w:t xml:space="preserve"> </w:t>
      </w:r>
      <w:r>
        <w:rPr>
          <w:bCs/>
          <w:b/>
        </w:rPr>
        <w:t xml:space="preserve">Moscow</w:t>
      </w:r>
      <w:r>
        <w:t xml:space="preserve">.</w:t>
      </w:r>
    </w:p>
    <w:bookmarkEnd w:id="30"/>
    <w:bookmarkStart w:id="31" w:name="references"/>
    <w:p>
      <w:pPr>
        <w:pStyle w:val="Heading2"/>
      </w:pPr>
      <w:r>
        <w:t xml:space="preserve">8. References</w:t>
      </w:r>
    </w:p>
    <w:p>
      <w:pPr>
        <w:pStyle w:val="FirstParagraph"/>
      </w:pPr>
      <w:r>
        <w:rPr>
          <w:iCs/>
          <w:i/>
        </w:rPr>
        <w:t xml:space="preserve">Note: Academic references would be listed here in APA format, citing local Russian tech reports, Nielsen Norman Group case studies on Eastern Europe, and internationalization guidelines adapted for Cyrillic script design.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Russia: Moscow as a Digital Hub</dc:title>
  <dc:creator/>
  <dc:language>en</dc:language>
  <cp:keywords/>
  <dcterms:created xsi:type="dcterms:W3CDTF">2026-07-29T15:09:57Z</dcterms:created>
  <dcterms:modified xsi:type="dcterms:W3CDTF">2026-07-29T15:09:57Z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