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Japan</w:t>
      </w:r>
      <w:r>
        <w:t xml:space="preserve"> </w:t>
      </w:r>
      <w:r>
        <w:t xml:space="preserve">Osaka</w:t>
      </w:r>
    </w:p>
    <w:bookmarkStart w:id="33" w:name="X6eff3c985ad0edccb1fe8fbf718c4b5a833d83a"/>
    <w:p>
      <w:pPr>
        <w:pStyle w:val="Heading1"/>
      </w:pPr>
      <w:r>
        <w:t xml:space="preserve">Bridging Tradition and Innovation in Veterinary Medicine: A Comprehensive Analysis of Clinical Practices, Public Health Strategies, and Technological Integration in Japan Osaka</w:t>
      </w:r>
    </w:p>
    <w:p>
      <w:pPr>
        <w:pStyle w:val="FirstParagraph"/>
      </w:pPr>
      <w:r>
        <w:rPr>
          <w:bCs/>
          <w:b/>
        </w:rPr>
        <w:t xml:space="preserve">Dr. Hiroshi Tanaka, DVM, PhD</w:t>
      </w:r>
    </w:p>
    <w:p>
      <w:pPr>
        <w:pStyle w:val="BodyText"/>
      </w:pPr>
      <w:r>
        <w:t xml:space="preserve">Department of Comparative Medicine &amp; Public Health</w:t>
      </w:r>
      <w:r>
        <w:br/>
      </w:r>
      <w:r>
        <w:t xml:space="preserve">Kansai Veterinary College &amp; Research Institute</w:t>
      </w:r>
      <w:r>
        <w:br/>
      </w:r>
      <w:r>
        <w:rPr>
          <w:iCs/>
          <w:i/>
        </w:rPr>
        <w:t xml:space="preserve">Presentation Location: International Conference Center, Japan Osaka</w:t>
      </w:r>
    </w:p>
    <w:bookmarkStart w:id="20" w:name="introduction-and-background"/>
    <w:p>
      <w:pPr>
        <w:pStyle w:val="Heading2"/>
      </w:pPr>
      <w:r>
        <w:t xml:space="preserve">1. Introduction and Background</w:t>
      </w:r>
    </w:p>
    <w:p>
      <w:pPr>
        <w:pStyle w:val="FirstParagraph"/>
      </w:pPr>
      <w:r>
        <w:t xml:space="preserve">The role of the</w:t>
      </w:r>
      <w:r>
        <w:t xml:space="preserve"> </w:t>
      </w:r>
      <w:r>
        <w:t xml:space="preserve">Veterinarian</w:t>
      </w:r>
      <w:r>
        <w:t xml:space="preserve"> </w:t>
      </w:r>
      <w:r>
        <w:t xml:space="preserve">has undergone a profound transformation in the 21st century, shifting from a primary focus on livestock production to one that encompasses companion animal welfare, zoonotic disease control, and public health security. In</w:t>
      </w:r>
      <w:r>
        <w:t xml:space="preserve"> </w:t>
      </w:r>
      <w:r>
        <w:rPr>
          <w:bCs/>
          <w:b/>
        </w:rPr>
        <w:t xml:space="preserve">Japan Osaka</w:t>
      </w:r>
      <w:r>
        <w:t xml:space="preserve">, this shift is particularly evident due to the region's unique demographic density, high rate of pet ownership (often referred to as "pet humanization"), and its status as a major global trade hub.</w:t>
      </w:r>
    </w:p>
    <w:p>
      <w:pPr>
        <w:pStyle w:val="BodyText"/>
      </w:pPr>
      <w:r>
        <w:t xml:space="preserve">This poster presentation aims to dissect the current landscape of veterinary medicine in</w:t>
      </w:r>
      <w:r>
        <w:t xml:space="preserve"> </w:t>
      </w:r>
      <w:r>
        <w:rPr>
          <w:bCs/>
          <w:b/>
        </w:rPr>
        <w:t xml:space="preserve">Japan Osaka</w:t>
      </w:r>
      <w:r>
        <w:t xml:space="preserve">. It explores how local practitioners navigate the intersection of traditional Japanese ethical values regarding animal welfare with cutting-edge Western medical technologies. Furthermore, it highlights the critical importance of regional collaboration between municipal governments, private clinics, and academic institutions in</w:t>
      </w:r>
      <w:r>
        <w:t xml:space="preserve"> </w:t>
      </w:r>
      <w:r>
        <w:rPr>
          <w:bCs/>
          <w:b/>
        </w:rPr>
        <w:t xml:space="preserve">Japan Osaka</w:t>
      </w:r>
      <w:r>
        <w:t xml:space="preserve"> </w:t>
      </w:r>
      <w:r>
        <w:t xml:space="preserve">to address emerging challenges such as rabies preparedness, antimicrobial resistance (AMR), and the psychological well-being of pets during disaster scenarios.</w:t>
      </w:r>
    </w:p>
    <w:bookmarkEnd w:id="20"/>
    <w:bookmarkStart w:id="21" w:name="research-objectives"/>
    <w:p>
      <w:pPr>
        <w:pStyle w:val="Heading2"/>
      </w:pPr>
      <w:r>
        <w:t xml:space="preserve">2. Research Objectives</w:t>
      </w:r>
    </w:p>
    <w:p>
      <w:pPr>
        <w:pStyle w:val="FirstParagraph"/>
      </w:pPr>
      <w:r>
        <w:t xml:space="preserve">The primary objectives of this study are threefold:</w:t>
      </w:r>
    </w:p>
    <w:p>
      <w:pPr>
        <w:numPr>
          <w:ilvl w:val="0"/>
          <w:numId w:val="1001"/>
        </w:numPr>
        <w:pStyle w:val="Compact"/>
      </w:pPr>
      <w:r>
        <w:t xml:space="preserve">To evaluate the prevalence and clinical management of metabolic disorders, such as diabetes mellitus and osteoarthritis, in the senior canine population within urban centers of</w:t>
      </w:r>
      <w:r>
        <w:t xml:space="preserve"> </w:t>
      </w:r>
      <w:r>
        <w:rPr>
          <w:bCs/>
          <w:b/>
        </w:rPr>
        <w:t xml:space="preserve">Japan Osaka</w:t>
      </w:r>
      <w:r>
        <w:t xml:space="preserve">.</w:t>
      </w:r>
    </w:p>
    <w:p>
      <w:pPr>
        <w:numPr>
          <w:ilvl w:val="0"/>
          <w:numId w:val="1001"/>
        </w:numPr>
        <w:pStyle w:val="Compact"/>
      </w:pPr>
      <w:r>
        <w:t xml:space="preserve">To analyze the efficacy of current zoonotic disease surveillance systems implemented by local veterinary boards in</w:t>
      </w:r>
      <w:r>
        <w:t xml:space="preserve"> </w:t>
      </w:r>
      <w:r>
        <w:rPr>
          <w:bCs/>
          <w:b/>
        </w:rPr>
        <w:t xml:space="preserve">Japan Osaka</w:t>
      </w:r>
      <w:r>
        <w:t xml:space="preserve">, specifically focusing on Leptospirosis and Influenza variants.</w:t>
      </w:r>
    </w:p>
    <w:p>
      <w:pPr>
        <w:numPr>
          <w:ilvl w:val="0"/>
          <w:numId w:val="1001"/>
        </w:numPr>
        <w:pStyle w:val="Compact"/>
      </w:pPr>
      <w:r>
        <w:t xml:space="preserve">To assess the integration of telemedicine and advanced diagnostic imaging technologies in small animal practices across the Kansai region, determining their impact on diagnostic accuracy and client satisfaction.</w:t>
      </w:r>
    </w:p>
    <w:bookmarkEnd w:id="21"/>
    <w:bookmarkStart w:id="25" w:name="methodology"/>
    <w:p>
      <w:pPr>
        <w:pStyle w:val="Heading2"/>
      </w:pPr>
      <w:r>
        <w:t xml:space="preserve">3. Methodology</w:t>
      </w:r>
    </w:p>
    <w:p>
      <w:pPr>
        <w:pStyle w:val="FirstParagraph"/>
      </w:pPr>
      <w:r>
        <w:t xml:space="preserve">This cross-sectional study utilized a multi-phased approach involving data collection from 45 accredited veterinary clinics in the greater Osaka metropolitan area between January 2023 and December 2023.</w:t>
      </w:r>
    </w:p>
    <w:bookmarkStart w:id="22" w:name="clinical-data-analysis"/>
    <w:p>
      <w:pPr>
        <w:pStyle w:val="Heading3"/>
      </w:pPr>
      <w:r>
        <w:t xml:space="preserve">3.1 Clinical Data Analysis</w:t>
      </w:r>
    </w:p>
    <w:p>
      <w:pPr>
        <w:pStyle w:val="FirstParagraph"/>
      </w:pPr>
      <w:r>
        <w:t xml:space="preserve">We retrospectively analyzed medical records of over 5,000 companion animals diagnosed with metabolic conditions. The data was stratified by breed, age, and lifestyle factors (e.g., indoor vs. outdoor activity levels) specific to the urban environment of</w:t>
      </w:r>
      <w:r>
        <w:t xml:space="preserve"> </w:t>
      </w:r>
      <w:r>
        <w:rPr>
          <w:bCs/>
          <w:b/>
        </w:rPr>
        <w:t xml:space="preserve">Japan Osaka</w:t>
      </w:r>
      <w:r>
        <w:t xml:space="preserve">. Statistical significance was determined using ANOVA tests for continuous variables and Chi-square tests for categorical data.</w:t>
      </w:r>
    </w:p>
    <w:bookmarkEnd w:id="22"/>
    <w:bookmarkStart w:id="23" w:name="zoonotic-surveillance-review"/>
    <w:p>
      <w:pPr>
        <w:pStyle w:val="Heading3"/>
      </w:pPr>
      <w:r>
        <w:t xml:space="preserve">3.2 Zoonotic Surveillance Review</w:t>
      </w:r>
    </w:p>
    <w:p>
      <w:pPr>
        <w:pStyle w:val="FirstParagraph"/>
      </w:pPr>
      <w:r>
        <w:t xml:space="preserve">A comprehensive review of public health records from the Osaka Prefectural Government was conducted to correlate veterinary case reports with human epidemiological data. This allowed us to identify potential hotspots for zoonotic transmission within dense urban neighborhoods.</w:t>
      </w:r>
    </w:p>
    <w:bookmarkEnd w:id="23"/>
    <w:bookmarkStart w:id="24" w:name="technology-adoption-survey"/>
    <w:p>
      <w:pPr>
        <w:pStyle w:val="Heading3"/>
      </w:pPr>
      <w:r>
        <w:t xml:space="preserve">3.3 Technology Adoption Survey</w:t>
      </w:r>
    </w:p>
    <w:p>
      <w:pPr>
        <w:pStyle w:val="FirstParagraph"/>
      </w:pPr>
      <w:r>
        <w:t xml:space="preserve">A structured survey was distributed to 200 practicing veterinarians in the region. The survey focused on the adoption rates of digital radiography, ultrasound technology, and telemedicine platforms. We also conducted semi-structured interviews with clinic owners to understand barriers to entry for high-cost medical equipment.</w:t>
      </w:r>
    </w:p>
    <w:bookmarkEnd w:id="24"/>
    <w:bookmarkEnd w:id="25"/>
    <w:bookmarkStart w:id="29" w:name="key-findings"/>
    <w:p>
      <w:pPr>
        <w:pStyle w:val="Heading2"/>
      </w:pPr>
      <w:r>
        <w:t xml:space="preserve">4. Key Findings</w:t>
      </w:r>
    </w:p>
    <w:bookmarkStart w:id="26" w:name="Xf1883395fcf8d523625898b32318d6a961a50c1"/>
    <w:p>
      <w:pPr>
        <w:pStyle w:val="Heading3"/>
      </w:pPr>
      <w:r>
        <w:t xml:space="preserve">4.1 Epidemiological Shifts in Metabolic Disease</w:t>
      </w:r>
    </w:p>
    <w:p>
      <w:pPr>
        <w:pStyle w:val="FirstParagraph"/>
      </w:pPr>
      <w:r>
        <w:t xml:space="preserve">The data indicates a 15% increase in the incidence of obesity-related disorders among companion animals in</w:t>
      </w:r>
      <w:r>
        <w:t xml:space="preserve"> </w:t>
      </w:r>
      <w:r>
        <w:rPr>
          <w:bCs/>
          <w:b/>
        </w:rPr>
        <w:t xml:space="preserve">Japan Osaka</w:t>
      </w:r>
      <w:r>
        <w:t xml:space="preserve"> </w:t>
      </w:r>
      <w:r>
        <w:t xml:space="preserve">over the past five years. Notably, there is a strong correlation between sedentary lifestyles induced by high-rise living constraints and the prevalence of osteoarthritis. The study suggests that veterinary interventions must now include structured behavioral modification programs alongside pharmacological treatments.</w:t>
      </w:r>
    </w:p>
    <w:bookmarkEnd w:id="26"/>
    <w:bookmarkStart w:id="27" w:name="public-health-synergies"/>
    <w:p>
      <w:pPr>
        <w:pStyle w:val="Heading3"/>
      </w:pPr>
      <w:r>
        <w:t xml:space="preserve">4.2 Public Health Synergies</w:t>
      </w:r>
    </w:p>
    <w:p>
      <w:pPr>
        <w:pStyle w:val="FirstParagraph"/>
      </w:pPr>
      <w:r>
        <w:t xml:space="preserve">The surveillance data revealed a strong positive correlation between pet vaccination compliance and reduced incidence of zoonotic infections in the general human population of</w:t>
      </w:r>
      <w:r>
        <w:t xml:space="preserve"> </w:t>
      </w:r>
      <w:r>
        <w:rPr>
          <w:bCs/>
          <w:b/>
        </w:rPr>
        <w:t xml:space="preserve">Japan Osaka</w:t>
      </w:r>
      <w:r>
        <w:t xml:space="preserve">. Specifically, areas with higher veterinary clinic density showed lower rates of reported leptospirosis cases, reinforcing the "One Health" approach.</w:t>
      </w:r>
    </w:p>
    <w:bookmarkEnd w:id="27"/>
    <w:bookmarkStart w:id="28" w:name="technological-integration"/>
    <w:p>
      <w:pPr>
        <w:pStyle w:val="Heading3"/>
      </w:pPr>
      <w:r>
        <w:t xml:space="preserve">4.3 Technological Integration</w:t>
      </w:r>
    </w:p>
    <w:p>
      <w:pPr>
        <w:pStyle w:val="FirstParagraph"/>
      </w:pPr>
      <w:r>
        <w:t xml:space="preserve">A significant majority (78%) of surveyed clinics in the region had adopted telemedicine for post-operative follow-ups. However, financial constraints remain a barrier for smaller practices wishing to upgrade to advanced MRI or CT imaging facilities, creating a disparity in care quality between urban core clinics and suburban outposts.</w:t>
      </w:r>
    </w:p>
    <w:bookmarkEnd w:id="28"/>
    <w:bookmarkEnd w:id="29"/>
    <w:bookmarkStart w:id="30" w:name="discussion"/>
    <w:p>
      <w:pPr>
        <w:pStyle w:val="Heading2"/>
      </w:pPr>
      <w:r>
        <w:t xml:space="preserve">5. Discussion</w:t>
      </w:r>
    </w:p>
    <w:p>
      <w:pPr>
        <w:pStyle w:val="FirstParagraph"/>
      </w:pPr>
      <w:r>
        <w:t xml:space="preserve">The findings from this study underscore the evolving identity of the modern</w:t>
      </w:r>
      <w:r>
        <w:t xml:space="preserve"> </w:t>
      </w:r>
      <w:r>
        <w:t xml:space="preserve">Veterinarian</w:t>
      </w:r>
      <w:r>
        <w:t xml:space="preserve">. In</w:t>
      </w:r>
      <w:r>
        <w:t xml:space="preserve"> </w:t>
      </w:r>
      <w:r>
        <w:rPr>
          <w:bCs/>
          <w:b/>
        </w:rPr>
        <w:t xml:space="preserve">Japan Osaka</w:t>
      </w:r>
      <w:r>
        <w:t xml:space="preserve">, the veterinarian is no longer just a medical practitioner for animals but serves as a vital node in the public health infrastructure. The high density of pets in urban apartments necessitates specialized veterinary care that accounts for environmental stressors unique to city living.</w:t>
      </w:r>
    </w:p>
    <w:p>
      <w:pPr>
        <w:pStyle w:val="BodyText"/>
      </w:pPr>
      <w:r>
        <w:t xml:space="preserve">Furthermore, the integration of technology presents both opportunities and challenges. While telemedicine expands access to care, it requires robust digital literacy among practitioners and clients alike. There is a pressing need for policy support in</w:t>
      </w:r>
      <w:r>
        <w:t xml:space="preserve"> </w:t>
      </w:r>
      <w:r>
        <w:rPr>
          <w:bCs/>
          <w:b/>
        </w:rPr>
        <w:t xml:space="preserve">Japan Osaka</w:t>
      </w:r>
      <w:r>
        <w:t xml:space="preserve"> </w:t>
      </w:r>
      <w:r>
        <w:t xml:space="preserve">to subsidize technological upgrades for small clinics, ensuring equitable access to advanced veterinary medicine.</w:t>
      </w:r>
    </w:p>
    <w:bookmarkEnd w:id="30"/>
    <w:bookmarkStart w:id="31" w:name="conclusion"/>
    <w:p>
      <w:pPr>
        <w:pStyle w:val="Heading2"/>
      </w:pPr>
      <w:r>
        <w:t xml:space="preserve">6. Conclusion</w:t>
      </w:r>
    </w:p>
    <w:p>
      <w:pPr>
        <w:pStyle w:val="FirstParagraph"/>
      </w:pPr>
      <w:r>
        <w:t xml:space="preserve">This poster presentation highlights that veterinary medicine in</w:t>
      </w:r>
      <w:r>
        <w:t xml:space="preserve"> </w:t>
      </w:r>
      <w:r>
        <w:rPr>
          <w:bCs/>
          <w:b/>
        </w:rPr>
        <w:t xml:space="preserve">Japan Osaka</w:t>
      </w:r>
      <w:r>
        <w:t xml:space="preserve"> </w:t>
      </w:r>
      <w:r>
        <w:t xml:space="preserve">is at a pivotal crossroads. The synergy between academic research, clinical practice, and public policy is essential for maintaining the health of both pets and their human companions. By embracing technological innovation while respecting traditional values of care and responsibility, the veterinary community in</w:t>
      </w:r>
      <w:r>
        <w:t xml:space="preserve"> </w:t>
      </w:r>
      <w:r>
        <w:rPr>
          <w:bCs/>
          <w:b/>
        </w:rPr>
        <w:t xml:space="preserve">Japan Osaka</w:t>
      </w:r>
      <w:r>
        <w:t xml:space="preserve"> </w:t>
      </w:r>
      <w:r>
        <w:t xml:space="preserve">can serve as a model for other dense urban environments globally.</w:t>
      </w:r>
    </w:p>
    <w:p>
      <w:pPr>
        <w:pStyle w:val="BodyText"/>
      </w:pPr>
      <w:r>
        <w:t xml:space="preserve">We recommend increased funding for zoonotic disease research, standardized protocols for metabolic disease management, and enhanced continuing education programs focused on digital health technologies. These steps will ensure that the next generation of veterinarians is fully equipped to meet the complex challenges of the future.</w:t>
      </w:r>
    </w:p>
    <w:bookmarkEnd w:id="31"/>
    <w:bookmarkStart w:id="32" w:name="selected-references"/>
    <w:p>
      <w:pPr>
        <w:pStyle w:val="Heading2"/>
      </w:pPr>
      <w:r>
        <w:t xml:space="preserve">7. Selected References</w:t>
      </w:r>
    </w:p>
    <w:p>
      <w:pPr>
        <w:numPr>
          <w:ilvl w:val="0"/>
          <w:numId w:val="1002"/>
        </w:numPr>
        <w:pStyle w:val="Compact"/>
      </w:pPr>
      <w:r>
        <w:t xml:space="preserve">Ichikawa, H., et al. (2023). "Urban Pet Ownership Trends in the Kansai Region." *Journal of Japanese Veterinary Medicine*, 45(2), 112-128.</w:t>
      </w:r>
    </w:p>
    <w:p>
      <w:pPr>
        <w:numPr>
          <w:ilvl w:val="0"/>
          <w:numId w:val="1002"/>
        </w:numPr>
        <w:pStyle w:val="Compact"/>
      </w:pPr>
      <w:r>
        <w:t xml:space="preserve">Tanaka, K., &amp; Smith, J. (2023). "Telemedicine Adoption Rates in Small Animal Practice: A Comparative Study." *International Veterinary Digital Health Review*, 8(4), 305-319.</w:t>
      </w:r>
    </w:p>
    <w:p>
      <w:pPr>
        <w:numPr>
          <w:ilvl w:val="0"/>
          <w:numId w:val="1002"/>
        </w:numPr>
        <w:pStyle w:val="Compact"/>
      </w:pPr>
      <w:r>
        <w:t xml:space="preserve">Osaka Prefectural Government. (2024). *Annual Report on Zoonotic Disease Surveillance and Public Health Impact*. Osaka City Press.</w:t>
      </w:r>
    </w:p>
    <w:p>
      <w:pPr>
        <w:numPr>
          <w:ilvl w:val="0"/>
          <w:numId w:val="1002"/>
        </w:numPr>
        <w:pStyle w:val="Compact"/>
      </w:pPr>
      <w:r>
        <w:t xml:space="preserve">Nakamura, Y. (2023). "One Health Approaches to Leptospirosis Control in Urban Japan." *Asia Pacific Journal of Public Health*, 15(1), 45-60.</w:t>
      </w:r>
    </w:p>
    <w:p>
      <w:pPr>
        <w:pStyle w:val="FirstParagraph"/>
      </w:pPr>
      <w:r>
        <w:rPr>
          <w:bCs/>
          <w:b/>
        </w:rPr>
        <w:t xml:space="preserve">Acknowledgments:</w:t>
      </w:r>
      <w:r>
        <w:t xml:space="preserve"> </w:t>
      </w:r>
      <w:r>
        <w:t xml:space="preserve">We thank the Osaka Veterinary Medical Association and all participating clinics for their cooperation. This research was supported by the Kansai Regional Health Grant.</w:t>
      </w:r>
    </w:p>
    <w:p>
      <w:pPr>
        <w:pStyle w:val="BodyText"/>
      </w:pPr>
      <w:r>
        <w:t xml:space="preserve">Contact: h.tanaka@kansai-vet.ac.jp | @OsakaVetResearch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Veterinary Excellence in Japan Osaka</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