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Videography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21" w:name="visualizing-heritage-and-modernity"/>
    <w:p>
      <w:pPr>
        <w:pStyle w:val="Heading1"/>
      </w:pPr>
      <w:r>
        <w:t xml:space="preserve">Visualizing Heritage and Modernity</w:t>
      </w:r>
    </w:p>
    <w:bookmarkStart w:id="20" w:name="X9da1349c8c98819cf53333e62f3fd0a0a64083d"/>
    <w:p>
      <w:pPr>
        <w:pStyle w:val="Heading2"/>
      </w:pPr>
      <w:r>
        <w:t xml:space="preserve">A Critical Analysis of the Videographer’s Role in Peru Lima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Dr. Elena Valverde | Department of Media Studies, National University of San Marcos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Faculty of Communication Sciences, Lima, Peru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Videography in Peru Lima</dc:title>
  <dc:creator/>
  <dc:language>en</dc:language>
  <cp:keywords/>
  <dcterms:created xsi:type="dcterms:W3CDTF">2026-07-29T12:37:25Z</dcterms:created>
  <dcterms:modified xsi:type="dcterms:W3CDTF">2026-07-29T12:37:25Z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