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Germany</w:t>
      </w:r>
      <w:r>
        <w:t xml:space="preserve"> </w:t>
      </w:r>
      <w:r>
        <w:t xml:space="preserve">Frankfurt</w:t>
      </w:r>
    </w:p>
    <w:bookmarkStart w:id="27" w:name="bridging-culture-and-code"/>
    <w:p>
      <w:pPr>
        <w:pStyle w:val="Heading1"/>
      </w:pPr>
      <w:r>
        <w:t xml:space="preserve">Bridging Culture and Code:</w:t>
      </w:r>
    </w:p>
    <w:bookmarkStart w:id="20" w:name="Xd751e7e52eb01fcda683df4c80a580b6e94dbe7"/>
    <w:p>
      <w:pPr>
        <w:pStyle w:val="Heading2"/>
      </w:pPr>
      <w:r>
        <w:t xml:space="preserve">The Strategic Role of the Web Designer in Germany Frankfurt’s Digital Economy</w:t>
      </w:r>
    </w:p>
    <w:p>
      <w:pPr>
        <w:pStyle w:val="FirstParagraph"/>
      </w:pPr>
      <w:r>
        <w:rPr>
          <w:bCs/>
          <w:b/>
        </w:rPr>
        <w:t xml:space="preserve">Presentation Focus:</w:t>
      </w:r>
    </w:p>
    <w:p>
      <w:pPr>
        <w:pStyle w:val="BodyText"/>
      </w:pPr>
      <w:r>
        <w:t xml:space="preserve">An Academic Examination of User-Centered Design, Regulatory Compliance, and Market Adaptation.</w:t>
      </w:r>
    </w:p>
    <w:p>
      <w:pPr>
        <w:pStyle w:val="BodyText"/>
      </w:pPr>
      <w:r>
        <w:t xml:space="preserve">This academic poster presentation explores the multifaceted role of a web designer specifically within the context of Germany's financial capital, Frankfurt. As Frankfurt continues to solidify its status as a global hub for finance (Bankenviertel) and technology startups (</w:t>
      </w:r>
      <w:r>
        <w:rPr>
          <w:iCs/>
          <w:i/>
        </w:rPr>
        <w:t xml:space="preserve">FinTech</w:t>
      </w:r>
      <w:r>
        <w:t xml:space="preserve">), the demand for specialized digital expertise has intensified. This document outlines how web designers in this region must navigate unique cultural expectations, strict regulatory environments (GDPR), and high-performance standards.</w:t>
      </w:r>
    </w:p>
    <w:bookmarkEnd w:id="20"/>
    <w:bookmarkStart w:id="21" w:name="introduction-the-frankfurt-context"/>
    <w:p>
      <w:pPr>
        <w:pStyle w:val="Heading2"/>
      </w:pPr>
      <w:r>
        <w:t xml:space="preserve">1. Introduction: The Frankfurt Context</w:t>
      </w:r>
    </w:p>
    <w:p>
      <w:pPr>
        <w:pStyle w:val="FirstParagraph"/>
      </w:pPr>
      <w:r>
        <w:rPr>
          <w:bCs/>
          <w:b/>
        </w:rPr>
        <w:t xml:space="preserve">A Unique Digital Landscape:</w:t>
      </w:r>
      <w:r>
        <w:t xml:space="preserve">Frankfurt am Main is not merely a city; it is the economic heart of Germany and a significant node in the European digital infrastructure. The presence of major financial institutions, such as the European Central Bank (ECB), Deutsche Bundesbank, and numerous international investment banks creates a specific demand for web design that balances aesthetic appeal with absolute reliability.</w:t>
      </w:r>
    </w:p>
    <w:p>
      <w:pPr>
        <w:pStyle w:val="BodyText"/>
      </w:pPr>
      <w:r>
        <w:rPr>
          <w:bCs/>
          <w:b/>
        </w:rPr>
        <w:t xml:space="preserve">The Web Designer as Strategic Partner:</w:t>
      </w:r>
      <w:r>
        <w:t xml:space="preserve">In this high-stakes environment, the web designer is no longer just an artist. They are strategic partners who translate complex financial data and institutional trust into intuitive digital experiences. This presentation argues that in Frankfurt, a web designer must possess a hybrid skill set: technical proficiency in front-end development, deep knowledge of usability engineering (</w:t>
      </w:r>
      <w:r>
        <w:rPr>
          <w:iCs/>
          <w:i/>
        </w:rPr>
        <w:t xml:space="preserve">Nutzerführung</w:t>
      </w:r>
      <w:r>
        <w:t xml:space="preserve">), and acute awareness of legal compliance.</w:t>
      </w:r>
    </w:p>
    <w:bookmarkEnd w:id="21"/>
    <w:bookmarkStart w:id="22" w:name="Xa94f6a3f142fd29d78cb7c6643d5df19093e61f"/>
    <w:p>
      <w:pPr>
        <w:pStyle w:val="Heading2"/>
      </w:pPr>
      <w:r>
        <w:t xml:space="preserve">2. Cultural Adaptation and User Experience (UX)</w:t>
      </w:r>
    </w:p>
    <w:p>
      <w:pPr>
        <w:pStyle w:val="FirstParagraph"/>
      </w:pPr>
      <w:r>
        <w:rPr>
          <w:bCs/>
          <w:b/>
        </w:rPr>
        <w:t xml:space="preserve">German User Psychology:</w:t>
      </w:r>
      <w:r>
        <w:t xml:space="preserve">Web designers targeting the German market, particularly in a business-centric city like Frankfurt, must understand specific user behaviors. Research indicates that German users tend to prioritize functionality, speed, and information density over flashy animations or minimalist abstraction. This is often referred to as "German UX."</w:t>
      </w:r>
    </w:p>
    <w:p>
      <w:pPr>
        <w:numPr>
          <w:ilvl w:val="0"/>
          <w:numId w:val="1001"/>
        </w:numPr>
        <w:pStyle w:val="Compact"/>
      </w:pPr>
      <w:r>
        <w:rPr>
          <w:bCs/>
          <w:b/>
        </w:rPr>
        <w:t xml:space="preserve">Transparency:</w:t>
      </w:r>
      <w:r>
        <w:t xml:space="preserve"> </w:t>
      </w:r>
      <w:r>
        <w:t xml:space="preserve">Users expect immediate access to contact information, company registration data (</w:t>
      </w:r>
      <w:r>
        <w:rPr>
          <w:iCs/>
          <w:i/>
        </w:rPr>
        <w:t xml:space="preserve">Impressum</w:t>
      </w:r>
      <w:r>
        <w:t xml:space="preserve">), and clear pricing structures.</w:t>
      </w:r>
    </w:p>
    <w:p>
      <w:pPr>
        <w:numPr>
          <w:ilvl w:val="0"/>
          <w:numId w:val="1001"/>
        </w:numPr>
        <w:pStyle w:val="Compact"/>
      </w:pPr>
      <w:r>
        <w:rPr>
          <w:bCs/>
          <w:b/>
        </w:rPr>
        <w:t xml:space="preserve">Erfahrung (Experience):</w:t>
      </w:r>
      <w:r>
        <w:t xml:space="preserve">The term "Erfahrung" implies a deep, meaningful experience rather than just "experience." Designers must create interfaces that respect the user's intelligence and need for comprehensive information.</w:t>
      </w:r>
    </w:p>
    <w:p>
      <w:pPr>
        <w:numPr>
          <w:ilvl w:val="0"/>
          <w:numId w:val="1001"/>
        </w:numPr>
        <w:pStyle w:val="Compact"/>
      </w:pPr>
      <w:r>
        <w:rPr>
          <w:bCs/>
          <w:b/>
        </w:rPr>
        <w:t xml:space="preserve">Multilingual Requirements:</w:t>
      </w:r>
      <w:r>
        <w:t xml:space="preserve"> </w:t>
      </w:r>
      <w:r>
        <w:t xml:space="preserve">In Frankfurt’s international financial district, web designers are frequently tasked with creating robust multilingual sites that seamlessly switch between German and English while maintaining design integrity.</w:t>
      </w:r>
    </w:p>
    <w:bookmarkEnd w:id="22"/>
    <w:bookmarkStart w:id="24" w:name="X0335a5bf1c5b7ae8f150ad5e2da9fb6eb41238f"/>
    <w:p>
      <w:pPr>
        <w:pStyle w:val="Heading2"/>
      </w:pPr>
      <w:r>
        <w:t xml:space="preserve">3. Navigating Legal Frameworks: GDPR and Accessibility</w:t>
      </w:r>
    </w:p>
    <w:p>
      <w:pPr>
        <w:pStyle w:val="FirstParagraph"/>
      </w:pPr>
      <w:r>
        <w:rPr>
          <w:bCs/>
          <w:b/>
        </w:rPr>
        <w:t xml:space="preserve">The Non-Negotiable Nature of Compliance:</w:t>
      </w:r>
      <w:r>
        <w:t xml:space="preserve">A defining characteristic of working as a web designer in Germany Frankfurt is the rigorous adherence to legal standards. Ignorance of these laws is not an acceptable design flaw; it is a liability.</w:t>
      </w:r>
    </w:p>
    <w:bookmarkStart w:id="23" w:name="key-regulatory-pillars"/>
    <w:p>
      <w:pPr>
        <w:pStyle w:val="Heading3"/>
      </w:pPr>
      <w:r>
        <w:t xml:space="preserve">Key Regulatory Pillars:</w:t>
      </w:r>
    </w:p>
    <w:p>
      <w:pPr>
        <w:numPr>
          <w:ilvl w:val="0"/>
          <w:numId w:val="1002"/>
        </w:numPr>
        <w:pStyle w:val="Compact"/>
      </w:pPr>
      <w:r>
        <w:rPr>
          <w:bCs/>
          <w:b/>
        </w:rPr>
        <w:t xml:space="preserve">General Data Protection Regulation (GDPR/DSGVO):</w:t>
      </w:r>
      <w:r>
        <w:t xml:space="preserve">Web designers must implement privacy-by-design principles. This includes secure cookie consent banners that are not intrusive but legally robust, ensuring data minimization in forms and clear opt-in mechanisms for tracking technologies.</w:t>
      </w:r>
    </w:p>
    <w:p>
      <w:pPr>
        <w:numPr>
          <w:ilvl w:val="0"/>
          <w:numId w:val="1002"/>
        </w:numPr>
        <w:pStyle w:val="Compact"/>
      </w:pPr>
      <w:r>
        <w:rPr>
          <w:bCs/>
          <w:b/>
        </w:rPr>
        <w:t xml:space="preserve">The Impressum Requirement:</w:t>
      </w:r>
      <w:r>
        <w:t xml:space="preserve">German law mandates a clearly visible "Impressum" (Legal Notice) on all commercial websites. Web designers must structure the site architecture to ensure this page is easily accessible, typically within one click from any other page on the site.</w:t>
      </w:r>
    </w:p>
    <w:p>
      <w:pPr>
        <w:numPr>
          <w:ilvl w:val="0"/>
          <w:numId w:val="1002"/>
        </w:numPr>
        <w:pStyle w:val="Compact"/>
      </w:pPr>
      <w:r>
        <w:rPr>
          <w:bCs/>
          <w:b/>
        </w:rPr>
        <w:t xml:space="preserve">Accessibility (BITV/Barrierefreiheit):</w:t>
      </w:r>
      <w:r>
        <w:t xml:space="preserve">Public sector websites and many private enterprises in Frankfurt are required to comply with the BITV (Barrier-free Information Technology Ordinance). Designers must ensure WCAG 2.1 AA compliance, utilizing proper contrast ratios, semantic HTML, and screen reader compatibility.</w:t>
      </w:r>
    </w:p>
    <w:bookmarkEnd w:id="23"/>
    <w:bookmarkEnd w:id="24"/>
    <w:bookmarkStart w:id="25" w:name="technical-proficiency-and-modern-tools"/>
    <w:p>
      <w:pPr>
        <w:pStyle w:val="Heading2"/>
      </w:pPr>
      <w:r>
        <w:t xml:space="preserve">4. Technical Proficiency and Modern Tools</w:t>
      </w:r>
    </w:p>
    <w:p>
      <w:pPr>
        <w:pStyle w:val="FirstParagraph"/>
      </w:pPr>
      <w:r>
        <w:rPr>
          <w:bCs/>
          <w:b/>
        </w:rPr>
        <w:t xml:space="preserve">Beyond Visuals:</w:t>
      </w:r>
      <w:r>
        <w:t xml:space="preserve">The modern Frankfurt-based web designer is expected to be proficient in a wide array of technical tools. The separation between "designer" and "developer" is blurring, especially in the agile startups emerging from the city's innovation hubs.</w:t>
      </w:r>
    </w:p>
    <w:p>
      <w:pPr>
        <w:numPr>
          <w:ilvl w:val="0"/>
          <w:numId w:val="1003"/>
        </w:numPr>
        <w:pStyle w:val="Compact"/>
      </w:pPr>
      <w:r>
        <w:rPr>
          <w:bCs/>
          <w:b/>
        </w:rPr>
        <w:t xml:space="preserve">Responsive Design:</w:t>
      </w:r>
      <w:r>
        <w:t xml:space="preserve">With high mobile usage among commuters using Frankfurt’s extensive public transport network (</w:t>
      </w:r>
      <w:r>
        <w:rPr>
          <w:iCs/>
          <w:i/>
        </w:rPr>
        <w:t xml:space="preserve">VGF</w:t>
      </w:r>
      <w:r>
        <w:t xml:space="preserve">, S-Bahn), responsive design is paramount. Designs must be tested rigorously across various devices.</w:t>
      </w:r>
    </w:p>
    <w:p>
      <w:pPr>
        <w:numPr>
          <w:ilvl w:val="0"/>
          <w:numId w:val="1003"/>
        </w:numPr>
        <w:pStyle w:val="Compact"/>
      </w:pPr>
      <w:r>
        <w:rPr>
          <w:bCs/>
          <w:b/>
        </w:rPr>
        <w:t xml:space="preserve">CMS Mastery:</w:t>
      </w:r>
      <w:r>
        <w:t xml:space="preserve">Proficiency in Content Management Systems such as TYPO3 (popular in large German institutions) and WordPress (common among SMEs) is often a prerequisite.</w:t>
      </w:r>
    </w:p>
    <w:p>
      <w:pPr>
        <w:numPr>
          <w:ilvl w:val="0"/>
          <w:numId w:val="1003"/>
        </w:numPr>
        <w:pStyle w:val="Compact"/>
      </w:pPr>
      <w:r>
        <w:rPr>
          <w:bCs/>
          <w:b/>
        </w:rPr>
        <w:t xml:space="preserve">Performance Optimization:</w:t>
      </w:r>
      <w:r>
        <w:t xml:space="preserve">Core Web Vitals are critical. Users in Frankfurt expect fast load times. Designers must optimize assets, leverage browser caching, and minimize code bloat to meet performance standards.</w:t>
      </w:r>
    </w:p>
    <w:bookmarkEnd w:id="25"/>
    <w:bookmarkStart w:id="26" w:name="Xba64f07891d634d993b7b46045cddd81e4137b1"/>
    <w:p>
      <w:pPr>
        <w:pStyle w:val="Heading2"/>
      </w:pPr>
      <w:r>
        <w:t xml:space="preserve">5. Conclusion: The Future of Digital Craftsmanship</w:t>
      </w:r>
    </w:p>
    <w:p>
      <w:pPr>
        <w:pStyle w:val="FirstParagraph"/>
      </w:pPr>
      <w:r>
        <w:rPr>
          <w:bCs/>
          <w:b/>
        </w:rPr>
        <w:t xml:space="preserve">Synthesizing Design and Duty:</w:t>
      </w:r>
      <w:r>
        <w:t xml:space="preserve">The role of the web designer in Germany Frankfurt is evolving into one of high responsibility and strategic importance. It is a profession that sits at the intersection of creativity, technology, and law.</w:t>
      </w:r>
    </w:p>
    <w:p>
      <w:pPr>
        <w:pStyle w:val="BodyText"/>
      </w:pPr>
      <w:r>
        <w:rPr>
          <w:bCs/>
          <w:b/>
        </w:rPr>
        <w:t xml:space="preserve">Key Takeaways for Academic Review:</w:t>
      </w:r>
      <w:r>
        <w:t xml:space="preserve"> </w:t>
      </w:r>
      <w:r>
        <w:t xml:space="preserve">1.</w:t>
      </w:r>
      <w:r>
        <w:t xml:space="preserve"> </w:t>
      </w:r>
      <w:r>
        <w:rPr>
          <w:iCs/>
          <w:i/>
        </w:rPr>
        <w:t xml:space="preserve">Cultural Sensitivity:</w:t>
      </w:r>
      <w:r>
        <w:t xml:space="preserve"> </w:t>
      </w:r>
      <w:r>
        <w:t xml:space="preserve">Successful design requires understanding the German preference for clarity and function.</w:t>
      </w:r>
      <w:r>
        <w:br/>
      </w:r>
      <w:r>
        <w:t xml:space="preserve">2.</w:t>
      </w:r>
      <w:r>
        <w:t xml:space="preserve"> </w:t>
      </w:r>
      <w:r>
        <w:rPr>
          <w:iCs/>
          <w:i/>
        </w:rPr>
        <w:t xml:space="preserve">Legal Rigor:</w:t>
      </w:r>
      <w:r>
        <w:t xml:space="preserve"> </w:t>
      </w:r>
      <w:r>
        <w:t xml:space="preserve">Compliance with GDPR and local imprint laws is a core design constraint, not an afterthought.</w:t>
      </w:r>
      <w:r>
        <w:br/>
      </w:r>
      <w:r>
        <w:t xml:space="preserve">3.</w:t>
      </w:r>
    </w:p>
    <w:p>
      <w:pPr>
        <w:pStyle w:val="BodyText"/>
      </w:pPr>
      <w:r>
        <w:t xml:space="preserve">Economic Impact:High-quality web design directly correlates with trust in Frankfurt’s financial sector, driving user engagement and conversion.</w:t>
      </w:r>
    </w:p>
    <w:p>
      <w:pPr>
        <w:pStyle w:val="BodyText"/>
      </w:pPr>
      <w:r>
        <w:rPr>
          <w:bCs/>
          <w:b/>
        </w:rPr>
        <w:t xml:space="preserve">Final Thought:</w:t>
      </w:r>
      <w:r>
        <w:t xml:space="preserve">As Frankfurt continues to lead Europe in FinTech and digital innovation, the web designer will remain a crucial architect of the city’s digital identity. By mastering both the aesthetic languages of design and the regulatory frameworks of Germany, professionals can create impactful, compliant, and user-centric web experiences that serve this dynamic metropolis effectively.</w:t>
      </w:r>
    </w:p>
    <w:bookmarkEnd w:id="26"/>
    <w:p>
      <w:pPr>
        <w:pStyle w:val="BodyText"/>
      </w:pPr>
      <w:r>
        <w:rPr>
          <w:iCs/>
          <w:i/>
        </w:rPr>
        <w:t xml:space="preserve">This poster presentation was prepared for academic review regarding digital trends in Central Europe.</w:t>
      </w:r>
      <w:r>
        <w:t xml:space="preserve"> </w:t>
      </w:r>
      <w:r>
        <w:rPr>
          <w:bCs/>
          <w:b/>
        </w:rPr>
        <w:t xml:space="preserve">Keywords:</w:t>
      </w:r>
      <w:r>
        <w:t xml:space="preserve">Web Design, UX/UI, Germany Frankfurt, GDPR, Digital Compliance, FinTech Design.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and Evolution of the Web Designer in Germany Frankfurt</dc:title>
  <dc:creator/>
  <dc:language>en</dc:language>
  <cp:keywords/>
  <dcterms:created xsi:type="dcterms:W3CDTF">2026-07-29T07:14:58Z</dcterms:created>
  <dcterms:modified xsi:type="dcterms:W3CDTF">2026-07-29T07:14:58Z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