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Australia</w:t>
      </w:r>
      <w:r>
        <w:t xml:space="preserve"> </w:t>
      </w:r>
      <w:r>
        <w:t xml:space="preserve">Melbourne</w:t>
      </w:r>
    </w:p>
    <w:bookmarkStart w:id="20" w:name="X9ead8c1ee877cb4c638027b2eafc65063a73053"/>
    <w:p>
      <w:pPr>
        <w:pStyle w:val="Heading1"/>
      </w:pPr>
      <w:r>
        <w:t xml:space="preserve">Project Report: Strategic Integration of an Academic Researcher in Australia Melbourne</w:t>
      </w:r>
    </w:p>
    <w:p>
      <w:pPr>
        <w:pStyle w:val="FirstParagraph"/>
      </w:pPr>
      <w:r>
        <w:rPr>
          <w:bCs/>
          <w:b/>
        </w:rPr>
        <w:t xml:space="preserve">Date:</w:t>
      </w:r>
      <w:r>
        <w:t xml:space="preserve"> </w:t>
      </w:r>
      <w:r>
        <w:t xml:space="preserve">October 26, 2023</w:t>
      </w:r>
      <w:r>
        <w:br/>
      </w:r>
      <w:r>
        <w:rPr>
          <w:bCs/>
          <w:b/>
        </w:rPr>
        <w:t xml:space="preserve">To:</w:t>
      </w:r>
      <w:r>
        <w:t xml:space="preserve">The Department of Higher Education and Innovation Strategy Board</w:t>
      </w:r>
      <w:r>
        <w:br/>
      </w:r>
      <w:r>
        <w:t xml:space="preserve">Research Implementation Task Force</w:t>
      </w:r>
      <w:r>
        <w:br/>
      </w:r>
      <w:r>
        <w:rPr>
          <w:iCs/>
          <w:i/>
        </w:rPr>
        <w:t xml:space="preserve">Subject: Comprehensive Analysis and Deployment Strategy for the Academic Researcher Role in the Melbourne Academic Ecosystem</w:t>
      </w:r>
    </w:p>
    <w:bookmarkEnd w:id="20"/>
    <w:bookmarkStart w:id="21" w:name="executive-summary"/>
    <w:p>
      <w:pPr>
        <w:pStyle w:val="Heading2"/>
      </w:pPr>
      <w:r>
        <w:t xml:space="preserve">1. Executive Summary</w:t>
      </w:r>
    </w:p>
    <w:p>
      <w:pPr>
        <w:pStyle w:val="FirstParagraph"/>
      </w:pPr>
      <w:r>
        <w:t xml:space="preserve">This Project Report outlines a comprehensive framework for recruiting, onboarding, and integrating an highly qualified Academic Researcher into the vibrant academic landscape of Australia Melbourne. As global competition for intellectual capital intensifies, this report argues that the strategic placement of dedicated researchers in Melbourne is not merely an administrative addition but a critical component of sustaining regional innovation hubs. The document details the unique socio-academic environment of Australia Melbourne, defines the core competencies required for success, and proposes a phased implementation plan to ensure long-term productivity and cultural alignment.</w:t>
      </w:r>
    </w:p>
    <w:bookmarkEnd w:id="21"/>
    <w:bookmarkStart w:id="25" w:name="contextual-background"/>
    <w:bookmarkStart w:id="24" w:name="X30621e0bd8a01284a56ff2910fd679b503cecf0"/>
    <w:p>
      <w:pPr>
        <w:pStyle w:val="Heading2"/>
      </w:pPr>
      <w:r>
        <w:t xml:space="preserve">2. Contextual Background: The Academic Landscape of Australia Melbourne</w:t>
      </w:r>
    </w:p>
    <w:p>
      <w:pPr>
        <w:pStyle w:val="FirstParagraph"/>
      </w:pPr>
      <w:r>
        <w:t xml:space="preserve">Melbourne has firmly established itself as one of the leading cities in the Southern Hemisphere for higher education and scientific inquiry. Often referred to as "Australia's education capital," the city hosts several world-renowned institutions, including the University of Melbourne, Monash University, RMIT, and Deakin University. Consequently, an Academic Researcher operating in Australia Melbourne must navigate a highly competitive yet collaborative ecosystem.</w:t>
      </w:r>
    </w:p>
    <w:bookmarkStart w:id="22" w:name="the-australia-melbourne-advantage"/>
    <w:p>
      <w:pPr>
        <w:pStyle w:val="Heading3"/>
      </w:pPr>
      <w:r>
        <w:t xml:space="preserve">2.1 The "Australia Melbourne" Advantage</w:t>
      </w:r>
    </w:p>
    <w:p>
      <w:pPr>
        <w:pStyle w:val="FirstParagraph"/>
      </w:pPr>
      <w:r>
        <w:t xml:space="preserve">The designation "Australia Melbourne" is distinct because it represents more than just a geographic location; it signifies a specific cluster of expertise in biomedical health, environmental sustainability, and digital technologies. The city's vibrant arts scene and high quality-of-life metrics make it an attractive destination for international talent. However, this attractiveness also means that the threshold for entry is exceptionally high. An Academic Researcher must possess not only technical prowess but also the ability to engage with diverse stakeholders ranging from government policy makers to local community groups.</w:t>
      </w:r>
    </w:p>
    <w:bookmarkEnd w:id="22"/>
    <w:bookmarkStart w:id="23" w:name="regulatory-and-ethical-frameworks"/>
    <w:p>
      <w:pPr>
        <w:pStyle w:val="Heading3"/>
      </w:pPr>
      <w:r>
        <w:t xml:space="preserve">2.2 Regulatory and Ethical Frameworks</w:t>
      </w:r>
    </w:p>
    <w:p>
      <w:pPr>
        <w:pStyle w:val="FirstParagraph"/>
      </w:pPr>
      <w:r>
        <w:t xml:space="preserve">In Australia Melbourne, research activities are strictly governed by the National Health and Medical Research Council (NHMRC) guidelines and the Australian Research Council (ARC) standards. The Academic Researcher must be well-versed in these protocols to ensure ethical compliance. Furthermore, with a strong emphasis on Indigenous engagement, researchers in this region are increasingly expected to integrate Aboriginal and Torres Strait Islander knowledge systems where applicable, requiring a nuanced understanding of local cultural dynamics.</w:t>
      </w:r>
    </w:p>
    <w:bookmarkEnd w:id="23"/>
    <w:bookmarkEnd w:id="24"/>
    <w:bookmarkEnd w:id="25"/>
    <w:bookmarkStart w:id="27" w:name="role-definition"/>
    <w:bookmarkStart w:id="26" w:name="defining-the-academic-researcher-role"/>
    <w:p>
      <w:pPr>
        <w:pStyle w:val="Heading2"/>
      </w:pPr>
      <w:r>
        <w:t xml:space="preserve">3. Defining the Academic Researcher Role</w:t>
      </w:r>
    </w:p>
    <w:p>
      <w:pPr>
        <w:pStyle w:val="FirstParagraph"/>
      </w:pPr>
      <w:r>
        <w:t xml:space="preserve">The role of the Academic Researcher in this project is multidimensional. Unlike purely industrial research roles, an Academic Researcher in Australia Melbourne is expected to bridge the gap between theoretical inquiry and practical application.</w:t>
      </w:r>
    </w:p>
    <w:p>
      <w:pPr>
        <w:numPr>
          <w:ilvl w:val="0"/>
          <w:numId w:val="1001"/>
        </w:numPr>
        <w:pStyle w:val="Compact"/>
      </w:pPr>
      <w:r>
        <w:rPr>
          <w:bCs/>
          <w:b/>
        </w:rPr>
        <w:t xml:space="preserve">Publishing Excellence:</w:t>
      </w:r>
    </w:p>
    <w:p>
      <w:pPr>
        <w:numPr>
          <w:ilvl w:val="0"/>
          <w:numId w:val="1001"/>
        </w:numPr>
        <w:pStyle w:val="Compact"/>
      </w:pPr>
      <w:r>
        <w:t xml:space="preserve">Grant Acquisition:The Australian funding landscape is competitive. The Academic Researcher must be capable of leading grant applications to bodies such as the ARC Discovery Projects or NHMRC Investigator Grants. Success in this area directly correlates with the sustainability of research groups in Melbourne.</w:t>
      </w:r>
    </w:p>
    <w:p>
      <w:pPr>
        <w:numPr>
          <w:ilvl w:val="0"/>
          <w:numId w:val="1001"/>
        </w:numPr>
        <w:pStyle w:val="Compact"/>
      </w:pPr>
      <w:r>
        <w:t xml:space="preserve">Teaching and Mentorship:A unique aspect of being an Academic Researcher is the dual responsibility to mentor PhD candidates and master’s students. In Australia Melbourne, where postgraduate enrollment is significant, the researcher plays a pivotal role in shaping the next generation of scientists.</w:t>
      </w:r>
    </w:p>
    <w:p>
      <w:pPr>
        <w:numPr>
          <w:ilvl w:val="0"/>
          <w:numId w:val="1001"/>
        </w:numPr>
        <w:pStyle w:val="Compact"/>
      </w:pPr>
      <w:r>
        <w:t xml:space="preserve">Community Engagement:Melbourne institutions place a high premium on "Impact." The Academic Researcher is expected to translate complex findings into accessible language for public policy and community benefit, thereby justifying public funding through tangible social outcomes.</w:t>
      </w:r>
    </w:p>
    <w:bookmarkEnd w:id="26"/>
    <w:bookmarkEnd w:id="27"/>
    <w:bookmarkStart w:id="31" w:name="implementation-strategy"/>
    <w:p>
      <w:pPr>
        <w:pStyle w:val="Heading2"/>
      </w:pPr>
      <w:r>
        <w:t xml:space="preserve">4. Implementation Strategy</w:t>
      </w:r>
    </w:p>
    <w:p>
      <w:pPr>
        <w:pStyle w:val="FirstParagraph"/>
      </w:pPr>
      <w:r>
        <w:t xml:space="preserve">To ensure the successful integration of the Academic Researcher into the Australia Melbourne ecosystem, a three-phase approach is recommended.</w:t>
      </w:r>
    </w:p>
    <w:bookmarkStart w:id="28" w:name="X80dd09c2b0e7270039bd455899a23bf3f3f54d8"/>
    <w:p>
      <w:pPr>
        <w:pStyle w:val="Heading3"/>
      </w:pPr>
      <w:r>
        <w:t xml:space="preserve">Phase 1: Recruitment and Visa Processing (Months 1-4)</w:t>
      </w:r>
    </w:p>
    <w:p>
      <w:pPr>
        <w:pStyle w:val="FirstParagraph"/>
      </w:pPr>
      <w:r>
        <w:t xml:space="preserve">The initial phase involves targeted recruitment. Given the global nature of academia, candidates should be sourced from international hubs while prioritizing those with experience in the Australian system or similar Commonwealth frameworks. Immediate attention must be paid to visa processing, specifically the Temporary Skill Shortage (TSS) visa or the Global Talent Visa (GTI), which is highly relevant for distinguished researchers in Australia Melbourne. Early engagement with migration agents specializing in academic visas is crucial to prevent delays.</w:t>
      </w:r>
    </w:p>
    <w:bookmarkEnd w:id="28"/>
    <w:bookmarkStart w:id="29" w:name="X48d3e1265f394ea7e75a45eac4a60045e5962f9"/>
    <w:p>
      <w:pPr>
        <w:pStyle w:val="Heading3"/>
      </w:pPr>
      <w:r>
        <w:t xml:space="preserve">Phase 2: Onboarding and Institutional Alignment (Months 5-8)</w:t>
      </w:r>
    </w:p>
    <w:p>
      <w:pPr>
        <w:pStyle w:val="FirstParagraph"/>
      </w:pPr>
      <w:r>
        <w:t xml:space="preserve">Upon arrival, the Academic Researcher must undergo a rigorous induction process. This goes beyond standard IT setup; it includes orientation to ethical review boards, laboratory safety protocols specific to Australian standards, and introductions to key administrative staff. In Australia Melbourne, networking is vital. The researcher should be introduced to local industry partners and government liaison officers early in this phase to facilitate collaborative opportunities.</w:t>
      </w:r>
    </w:p>
    <w:bookmarkEnd w:id="29"/>
    <w:bookmarkStart w:id="30" w:name="Xd575053a4ad334284b1a3d48b2d16bbe6dd4f46"/>
    <w:p>
      <w:pPr>
        <w:pStyle w:val="Heading3"/>
      </w:pPr>
      <w:r>
        <w:t xml:space="preserve">Phase 3: Operational Launch and Performance Metrics (Months 9-12)</w:t>
      </w:r>
    </w:p>
    <w:p>
      <w:pPr>
        <w:pStyle w:val="FirstParagraph"/>
      </w:pPr>
      <w:r>
        <w:t xml:space="preserve">The final phase marks the transition from onboarding to full operation. Key Performance Indicators (KPIs) should be established, focusing on initial grant submissions, seminar deliveries, and student supervision logs. Regular feedback loops must be implemented to address any challenges related to cultural adaptation or resource allocation.</w:t>
      </w:r>
    </w:p>
    <w:bookmarkEnd w:id="30"/>
    <w:bookmarkEnd w:id="31"/>
    <w:bookmarkStart w:id="33" w:name="challenges-and-mitigation"/>
    <w:bookmarkStart w:id="32" w:name="challenges-and-mitigation-strategies"/>
    <w:p>
      <w:pPr>
        <w:pStyle w:val="Heading2"/>
      </w:pPr>
      <w:r>
        <w:t xml:space="preserve">5. Challenges and Mitigation Strategies</w:t>
      </w:r>
    </w:p>
    <w:p>
      <w:pPr>
        <w:pStyle w:val="FirstParagraph"/>
      </w:pPr>
      <w:r>
        <w:rPr>
          <w:bCs/>
          <w:b/>
        </w:rPr>
        <w:t xml:space="preserve">Cultural Adaptation:</w:t>
      </w:r>
      <w:r>
        <w:t xml:space="preserve">Moving to Australia Melbourne can be a significant lifestyle change. While the city is cosmopolitan, remote work cultures and academic pressures can lead to isolation. Mitigation involves assigning a "buddy" within the institution and encouraging participation in local professional networks such as the Australian Academy of Science chapters.</w:t>
      </w:r>
    </w:p>
    <w:p>
      <w:pPr>
        <w:pStyle w:val="BodyText"/>
      </w:pPr>
      <w:r>
        <w:rPr>
          <w:bCs/>
          <w:b/>
        </w:rPr>
        <w:t xml:space="preserve">Funding Volatility:</w:t>
      </w:r>
      <w:r>
        <w:t xml:space="preserve">Research funding cycles can be unpredictable. To mitigate this, the Academic Researcher should diversify funding sources, combining institutional seed grants with external industry partnerships available through Melbourne’s growing tech and biotech sectors.</w:t>
      </w:r>
    </w:p>
    <w:p>
      <w:pPr>
        <w:pStyle w:val="BodyText"/>
      </w:pPr>
      <w:r>
        <w:t xml:space="preserve">Bureaucratic Complexity:Australian universities are known for robust governance structures. New researchers may find the administrative burden heavy. Providing dedicated administrative support from day one is essential to allow the Academic Researcher to focus on their core intellectual contributions.</w:t>
      </w:r>
    </w:p>
    <w:bookmarkEnd w:id="32"/>
    <w:bookmarkEnd w:id="33"/>
    <w:bookmarkStart w:id="34" w:name="conclusion"/>
    <w:p>
      <w:pPr>
        <w:pStyle w:val="Heading2"/>
      </w:pPr>
      <w:r>
        <w:t xml:space="preserve">6. Conclusion</w:t>
      </w:r>
    </w:p>
    <w:p>
      <w:pPr>
        <w:pStyle w:val="FirstParagraph"/>
      </w:pPr>
      <w:r>
        <w:t xml:space="preserve">The integration of an Academic Researcher into the Australia Melbourne sector represents a strategic investment in knowledge infrastructure. By acknowledging the unique characteristics of this city—its world-class institutions, its rigorous ethical standards, and its vibrant cultural fabric—we can create a supportive environment that fosters excellence. This Project Report serves as a roadmap for navigating these complexities. If executed according to the proposed strategy, the new Academic Researcher will not only contribute to institutional prestige but also enhance Melbourne’s standing as a global hub for scientific discovery and innovation.</w:t>
      </w:r>
    </w:p>
    <w:p>
      <w:pPr>
        <w:pStyle w:val="BodyText"/>
      </w:pPr>
      <w:r>
        <w:t xml:space="preserve">It is recommended that the Steering Committee approve this framework immediately to commence recruitment activities before the next academic fiscal year begins in Australia. The potential return on investment, measured through citations, grants, and societal impact, justifies the rigorous implementation process outlined herein.</w:t>
      </w:r>
    </w:p>
    <w:bookmarkEnd w:id="34"/>
    <w:p>
      <w:pPr>
        <w:pStyle w:val="BodyText"/>
      </w:pPr>
      <w:r>
        <w:rPr>
          <w:iCs/>
          <w:i/>
        </w:rPr>
        <w:t xml:space="preserve">This document is confidential and intended for internal use by the Department of Higher Education Strategy. All references to Australia Melbourne are specific to the metropolitan area and its affiliated institutional networks.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an Academic Researcher in Australia Melbourne</dc:title>
  <dc:creator/>
  <dc:language>en</dc:language>
  <cp:keywords/>
  <dcterms:created xsi:type="dcterms:W3CDTF">2026-07-29T12:26:28Z</dcterms:created>
  <dcterms:modified xsi:type="dcterms:W3CDTF">2026-07-29T12:26:28Z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