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Canada</w:t>
      </w:r>
      <w:r>
        <w:t xml:space="preserve"> </w:t>
      </w:r>
      <w:r>
        <w:t xml:space="preserve">Toronto</w:t>
      </w:r>
    </w:p>
    <w:bookmarkStart w:id="28"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t xml:space="preserve">The Department of Immigration and Citizenship Strategy Board</w:t>
      </w:r>
      <w:r>
        <w:br/>
      </w:r>
      <w:r>
        <w:rPr>
          <w:bCs/>
          <w:b/>
        </w:rPr>
        <w:t xml:space="preserve">From:</w:t>
      </w:r>
      <w:r>
        <w:t xml:space="preserve">The Office of Academic Research Coordination</w:t>
      </w:r>
      <w:r>
        <w:br/>
      </w:r>
      <w:r>
        <w:t xml:space="preserve">Project Title: Strategic Integration and Enhancement of the Academic Researcher Role in Canada Toronto</w:t>
      </w:r>
    </w:p>
    <w:p>
      <w:pPr>
        <w:pStyle w:val="BodyText"/>
      </w:pPr>
      <w:r>
        <w:t xml:space="preserve">This comprehensive Project Report details the strategic framework, operational objectives, and anticipated outcomes regarding the deployment and enhancement of roles for an Academic Researcher within the vibrant scientific ecosystem of Canada Toronto. As a global hub for innovation and higher education, Canada Toronto serves as a critical nexus for interdisciplinary collaboration. This report outlines how integrating high-caliber Academic Researcher profiles into local institutions will drive economic growth, foster technological advancement, and strengthen international ties while adhering to regulatory standards specific to the region.</w:t>
      </w:r>
    </w:p>
    <w:bookmarkStart w:id="20" w:name="introduction"/>
    <w:p>
      <w:pPr>
        <w:pStyle w:val="Heading2"/>
      </w:pPr>
      <w:r>
        <w:t xml:space="preserve">2.0 Introduction</w:t>
      </w:r>
    </w:p>
    <w:p>
      <w:pPr>
        <w:pStyle w:val="FirstParagraph"/>
      </w:pPr>
      <w:r>
        <w:t xml:space="preserve">The landscape of modern scientific inquiry is increasingly collaborative and interdisciplinary. In this context, the role of the Academic Researcher extends beyond traditional laboratory work to encompass grant acquisition, public engagement, policy advising, and industry partnership development. This Project Report aims to analyze the current state of research infrastructure in Canada Toronto and propose a structured approach for recruiting and retaining top-tier Academic Researcher talent.</w:t>
      </w:r>
    </w:p>
    <w:p>
      <w:pPr>
        <w:pStyle w:val="BodyText"/>
      </w:pPr>
      <w:r>
        <w:t xml:space="preserve">Toronto’s unique position as a multicultural metropolis with world-class universities such as the University of Toronto, York University, and Ryerson (TMU) makes it an ideal location for such initiatives. However, to maintain its competitive edge against global cities like Boston, London, and Berlin, Canada Toronto must proactively address challenges related to funding stability. Researcher retention rates are crucial metrics we aim to optimize.</w:t>
      </w:r>
    </w:p>
    <w:bookmarkEnd w:id="20"/>
    <w:bookmarkStart w:id="23" w:name="contextual-analysis-of-canada-toronto"/>
    <w:p>
      <w:pPr>
        <w:pStyle w:val="Heading2"/>
      </w:pPr>
      <w:r>
        <w:t xml:space="preserve">3.0 Contextual Analysis of Canada Toronto</w:t>
      </w:r>
    </w:p>
    <w:p>
      <w:pPr>
        <w:pStyle w:val="FirstParagraph"/>
      </w:pPr>
      <w:r>
        <w:t xml:space="preserve">To understand the significance of this project, one must first appreciate the unique characteristics of Canada Toronto. It is not merely a provincial capital but a national economic engine contributing significantly to Canada's GDP through knowledge-based industries.</w:t>
      </w:r>
    </w:p>
    <w:bookmarkStart w:id="21" w:name="innovation-ecosystem"/>
    <w:p>
      <w:pPr>
        <w:pStyle w:val="Heading3"/>
      </w:pPr>
      <w:r>
        <w:t xml:space="preserve">3.1 Innovation Ecosystem</w:t>
      </w:r>
    </w:p>
    <w:p>
      <w:pPr>
        <w:pStyle w:val="FirstParagraph"/>
      </w:pPr>
      <w:r>
        <w:t xml:space="preserve">The region boasts a dense cluster of tech hubs, including the MaRS Discovery District and the Toronto Region Innovation Supercluster. These entities provide fertile ground for an Academic Researcher to translate theoretical findings into practical applications. The synergy between public academia and private sector innovation is particularly strong in sectors such as artificial intelligence (AI), biomedical sciences, and renewable energy.</w:t>
      </w:r>
    </w:p>
    <w:bookmarkEnd w:id="21"/>
    <w:bookmarkStart w:id="22" w:name="demographic-diversity"/>
    <w:p>
      <w:pPr>
        <w:pStyle w:val="Heading3"/>
      </w:pPr>
      <w:r>
        <w:t xml:space="preserve">3.2 Demographic Diversity</w:t>
      </w:r>
    </w:p>
    <w:p>
      <w:pPr>
        <w:pStyle w:val="FirstParagraph"/>
      </w:pPr>
      <w:r>
        <w:t xml:space="preserve">Toronto is one of the most diverse cities in the world. For an Academic Researcher, this diversity offers unparalleled opportunities for cross-cultural studies and inclusive research methodologies. Furthermore, it allows for broad outreach to various community segments, enhancing public understanding of science (PUS) initiatives which are vital for securing public support for government-funded research.</w:t>
      </w:r>
    </w:p>
    <w:bookmarkEnd w:id="22"/>
    <w:bookmarkEnd w:id="23"/>
    <w:bookmarkStart w:id="27" w:name="strategic-objectives"/>
    <w:p>
      <w:pPr>
        <w:pStyle w:val="Heading2"/>
      </w:pPr>
      <w:r>
        <w:t xml:space="preserve">4.0 Strategic Objectives</w:t>
      </w:r>
    </w:p>
    <w:p>
      <w:pPr>
        <w:pStyle w:val="FirstParagraph"/>
      </w:pPr>
      <w:r>
        <w:t xml:space="preserve">The primary goal of this initiative is to establish a sustainable pipeline for Academic Researcher development specifically tailored to the needs of Canada Toronto’s institutional landscape. The following objectives have been identified:</w:t>
      </w:r>
    </w:p>
    <w:p>
      <w:pPr>
        <w:numPr>
          <w:ilvl w:val="0"/>
          <w:numId w:val="1001"/>
        </w:numPr>
        <w:pStyle w:val="Compact"/>
      </w:pPr>
      <w:r>
        <w:rPr>
          <w:bCs/>
          <w:b/>
        </w:rPr>
        <w:t xml:space="preserve">Elevate Research Output:</w:t>
      </w:r>
      <w:r>
        <w:t xml:space="preserve"> </w:t>
      </w:r>
      <w:r>
        <w:t xml:space="preserve">Increase the volume and impact factor of publications produced by researchers based in Canada Toronto by 15% over three years through targeted support programs.</w:t>
      </w:r>
    </w:p>
    <w:p>
      <w:pPr>
        <w:numPr>
          <w:ilvl w:val="0"/>
          <w:numId w:val="1001"/>
        </w:numPr>
        <w:pStyle w:val="Compact"/>
      </w:pPr>
      <w:r>
        <w:rPr>
          <w:bCs/>
          <w:b/>
        </w:rPr>
        <w:t xml:space="preserve">Foster Industry-Academia Linkages:</w:t>
      </w:r>
      <w:r>
        <w:t xml:space="preserve"> </w:t>
      </w:r>
      <w:r>
        <w:t xml:space="preserve">Facilitate at least fifty collaborative projects between Academic Researcher positions and local tech/biotech firms annually, ensuring knowledge transfer.</w:t>
      </w:r>
    </w:p>
    <w:p>
      <w:pPr>
        <w:numPr>
          <w:ilvl w:val="0"/>
          <w:numId w:val="1001"/>
        </w:numPr>
        <w:pStyle w:val="Compact"/>
      </w:pPr>
      <w:r>
        <w:rPr>
          <w:bCs/>
          <w:b/>
        </w:rPr>
        <w:t xml:space="preserve">Enhance Funding Success Rates:</w:t>
      </w:r>
      <w:r>
        <w:t xml:space="preserve"> </w:t>
      </w:r>
      <w:r>
        <w:t xml:space="preserve">Provide specialized training for researchers in navigating the complex landscape of Canadian granting agencies (e.g., NSERC, CIHR) to improve success rates in competitive grant applications.</w:t>
      </w:r>
    </w:p>
    <w:p>
      <w:pPr>
        <w:numPr>
          <w:ilvl w:val="0"/>
          <w:numId w:val="1001"/>
        </w:numPr>
        <w:pStyle w:val="Compact"/>
      </w:pPr>
      <w:r>
        <w:rPr>
          <w:bCs/>
          <w:b/>
        </w:rPr>
        <w:t xml:space="preserve">Promote Ethical Standards:</w:t>
      </w:r>
      <w:r>
        <w:t xml:space="preserve"> </w:t>
      </w:r>
      <w:r>
        <w:t xml:space="preserve">Ensure all research conducted under this umbrella adheres to strict ethical guidelines set by Tri-Council policies and international best practices.</w:t>
      </w:r>
    </w:p>
    <w:p>
      <w:pPr>
        <w:pStyle w:val="FirstParagraph"/>
      </w:pPr>
      <w:r>
        <w:t xml:space="preserve">The implementation of this Project Report involves several key phases designed to support the Academic Researcher throughout their career lifecycle in Canada Toronto.</w:t>
      </w:r>
    </w:p>
    <w:bookmarkStart w:id="24" w:name="recruitment-and-onboarding"/>
    <w:p>
      <w:pPr>
        <w:pStyle w:val="Heading3"/>
      </w:pPr>
      <w:r>
        <w:t xml:space="preserve">5.1 Recruitment and Onboarding</w:t>
      </w:r>
    </w:p>
    <w:p>
      <w:pPr>
        <w:pStyle w:val="FirstParagraph"/>
      </w:pPr>
      <w:r>
        <w:t xml:space="preserve">We propose a streamlined visa processing pathway for international Academic Researchers, acknowledging that Canada faces a shortage of specialized talent. Once arrived, new hires will undergo an intensive onboarding program focusing on local administrative protocols, ethical compliance, and cultural integration within the Canadian academic system.</w:t>
      </w:r>
    </w:p>
    <w:bookmarkEnd w:id="24"/>
    <w:bookmarkStart w:id="25" w:name="resource-allocation"/>
    <w:p>
      <w:pPr>
        <w:pStyle w:val="Heading3"/>
      </w:pPr>
      <w:r>
        <w:t xml:space="preserve">5.2 Resource Allocation</w:t>
      </w:r>
    </w:p>
    <w:p>
      <w:pPr>
        <w:pStyle w:val="FirstParagraph"/>
      </w:pPr>
      <w:r>
        <w:t xml:space="preserve">A significant portion of the budget outlined in this Project Report is dedicated to infrastructure modernization. This includes upgrading laboratory spaces in Canada Toronto facilities to meet international safety standards and investing in high-performance computing resources essential for data-intensive research.</w:t>
      </w:r>
    </w:p>
    <w:bookmarkEnd w:id="25"/>
    <w:bookmarkStart w:id="26" w:name="mentorship-and-professional-development"/>
    <w:p>
      <w:pPr>
        <w:pStyle w:val="Heading3"/>
      </w:pPr>
      <w:r>
        <w:t xml:space="preserve">5.3 Mentorship and Professional Development</w:t>
      </w:r>
    </w:p>
    <w:p>
      <w:pPr>
        <w:pStyle w:val="FirstParagraph"/>
      </w:pPr>
      <w:r>
        <w:t xml:space="preserve">To combat isolation and burnout among Early-Career Academic Researchers, a formal mentorship network will be established. Senior faculty members in Canada Toronto will pair with junior researchers to provide guidance on career navigation, work-life balance, and leadership skills.</w:t>
      </w:r>
    </w:p>
    <w:p>
      <w:pPr>
        <w:pStyle w:val="BodyText"/>
      </w:pPr>
      <w:r>
        <w:t xml:space="preserve">The financial model for this project relies on a hybrid funding structure combining federal grants from the Government of Canada, provincial contributions from Ontario Innovation Trusts, and private sector sponsorships. Initial capital expenditure is estimated at $5 million CAD for infrastructure upgrades, followed by an annual operating budget of $12 million CAD dedicated to personnel stipends and research supplies.</w:t>
      </w:r>
    </w:p>
    <w:p>
      <w:pPr>
        <w:pStyle w:val="BodyText"/>
      </w:pPr>
      <w:r>
        <w:t xml:space="preserve">Risk mitigation strategies include diversifying funding sources to reduce dependency on any single government agency and implementing quarterly financial reviews to ensure fiscal responsibility. The ROI is projected through increased patent filings, spin-off company creation, and enhanced global ranking for participating institutions.</w:t>
      </w:r>
    </w:p>
    <w:p>
      <w:pPr>
        <w:pStyle w:val="BodyText"/>
      </w:pPr>
      <w:r>
        <w:t xml:space="preserve">While the potential benefits are substantial, several risks must be managed:</w:t>
      </w:r>
    </w:p>
    <w:p>
      <w:pPr>
        <w:numPr>
          <w:ilvl w:val="0"/>
          <w:numId w:val="1002"/>
        </w:numPr>
        <w:pStyle w:val="Compact"/>
      </w:pPr>
      <w:r>
        <w:rPr>
          <w:bCs/>
          <w:b/>
        </w:rPr>
        <w:t xml:space="preserve">Bureaucratic Delays:</w:t>
      </w:r>
      <w:r>
        <w:t xml:space="preserve">Toronto’s institutional layers can sometimes slow decision-making. We will implement agile project management techniques to mitigate this.</w:t>
      </w:r>
    </w:p>
    <w:p>
      <w:pPr>
        <w:numPr>
          <w:ilvl w:val="0"/>
          <w:numId w:val="1002"/>
        </w:numPr>
        <w:pStyle w:val="Compact"/>
      </w:pPr>
      <w:r>
        <w:rPr>
          <w:bCs/>
          <w:b/>
        </w:rPr>
        <w:t xml:space="preserve">Brain Drain:</w:t>
      </w:r>
      <w:r>
        <w:t xml:space="preserve">Maintaining talent in Canada Toronto against competition from US universities requires competitive compensation packages and a supportive work environment.</w:t>
      </w:r>
    </w:p>
    <w:p>
      <w:pPr>
        <w:numPr>
          <w:ilvl w:val="0"/>
          <w:numId w:val="1002"/>
        </w:numPr>
        <w:pStyle w:val="Compact"/>
      </w:pPr>
      <w:r>
        <w:rPr>
          <w:bCs/>
          <w:b/>
        </w:rPr>
        <w:t xml:space="preserve">Funding Volatility:</w:t>
      </w:r>
      <w:r>
        <w:t xml:space="preserve"> </w:t>
      </w:r>
      <w:r>
        <w:t xml:space="preserve">Changes in federal policy could impact grant availability. Continuous lobbying efforts with policymakers will be part of the strategic plan.</w:t>
      </w:r>
    </w:p>
    <w:p>
      <w:pPr>
        <w:pStyle w:val="FirstParagraph"/>
      </w:pPr>
      <w:r>
        <w:t xml:space="preserve">In conclusion, this Project Report underscores the critical importance of investing in the Academic Researcher community within Canada Toronto. By strategically enhancing resources, streamlining administrative processes, and fostering strong industry partnerships, we can position Canada Toronto as a leading global destination for scientific excellence.</w:t>
      </w:r>
    </w:p>
    <w:p>
      <w:pPr>
        <w:pStyle w:val="BodyText"/>
      </w:pPr>
      <w:r>
        <w:t xml:space="preserve">The successful execution of these recommendations will not only boost local economic prosperity but also contribute to solving pressing global challenges through rigorous scientific inquiry. It is imperative that stakeholders recognize the value of nurturing Academic Researcher talent as a cornerstone of sustainable development in Canada Toronto.</w:t>
      </w:r>
    </w:p>
    <w:p>
      <w:pPr>
        <w:pStyle w:val="BodyText"/>
      </w:pPr>
      <w:r>
        <w:t xml:space="preserve">Based on the findings presented in this Project Report, we recommend the immediate approval of Phase One funding to initiate recruitment drives and infrastructure audits. Additionally, we suggest forming a steering committee comprising representatives from universities, government bodies, and industry leaders in Canada Toronto to oversee implementation.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Canada Toronto</dc:title>
  <dc:creator/>
  <dc:language>en</dc:language>
  <cp:keywords/>
  <dcterms:created xsi:type="dcterms:W3CDTF">2026-07-29T06:38:10Z</dcterms:created>
  <dcterms:modified xsi:type="dcterms:W3CDTF">2026-07-29T06:38:10Z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