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Role</w:t>
      </w:r>
      <w:r>
        <w:t xml:space="preserve"> </w:t>
      </w:r>
      <w:r>
        <w:t xml:space="preserve">in</w:t>
      </w:r>
      <w:r>
        <w:t xml:space="preserve"> </w:t>
      </w:r>
      <w:r>
        <w:t xml:space="preserve">Canada,</w:t>
      </w:r>
      <w:r>
        <w:t xml:space="preserve"> </w:t>
      </w:r>
      <w:r>
        <w:t xml:space="preserve">Vancouver</w:t>
      </w:r>
    </w:p>
    <w:bookmarkStart w:id="32" w:name="Xd97be3af841d35d6a64961f32b80e5f95bbe62a"/>
    <w:p>
      <w:pPr>
        <w:pStyle w:val="Heading1"/>
      </w:pPr>
      <w:r>
        <w:t xml:space="preserve">Comprehensive Project Report: The Role and Impact of Academic Researchers in Canada, Vancouver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Planning Committee, University Research Board</w:t>
      </w:r>
    </w:p>
    <w:p>
      <w:pPr>
        <w:pStyle w:val="BodyText"/>
      </w:pPr>
      <w:r>
        <w:t xml:space="preserve">: Department of Institutional Analysis &amp; Development</w:t>
      </w:r>
    </w:p>
    <w:bookmarkStart w:id="31" w:name="section"/>
    <w:p>
      <w:pPr>
        <w:pStyle w:val="Heading1"/>
      </w:pPr>
    </w:p>
    <w:p>
      <w:pPr>
        <w:pStyle w:val="FirstParagraph"/>
      </w:pPr>
      <w:r>
        <w:t xml:space="preserve">&lt; h2 &gt; Executive Summary&lt; / h2 &gt;&lt; p &gt;This Project Report serves as a comprehensive analysis of the position, responsibilities, and strategic importance of the</w:t>
      </w:r>
      <w:r>
        <w:t xml:space="preserve"> </w:t>
      </w:r>
      <w:r>
        <w:rPr>
          <w:bCs/>
          <w:b/>
        </w:rPr>
        <w:t xml:space="preserve">Academic Researcher</w:t>
      </w:r>
      <w:r>
        <w:t xml:space="preserve"> </w:t>
      </w:r>
      <w:r>
        <w:t xml:space="preserve">within the higher education ecosystem. Specifically, this document focuses on the unique dynamics present in</w:t>
      </w:r>
    </w:p>
    <w:p>
      <w:pPr>
        <w:pStyle w:val="BodyText"/>
      </w:pPr>
      <w:r>
        <w:t xml:space="preserve">Canada Vancouver. As a major hub for technological innovation and international talent acquisition in Western Canada,&lt; / p &gt;Vancouver represents a critical node for academic advancement. This report outlines the operational framework, funding mechanisms, collaborative opportunities, and future projections associated with academic research roles in this specific geographic location. The primary objective is to provide stakeholders with a detailed understanding of how Academic Researchers contribute to the economic and intellectual vitality of Canada Vancouver.</w:t>
      </w:r>
    </w:p>
    <w:bookmarkStart w:id="20" w:name="introduction"/>
    <w:p>
      <w:pPr>
        <w:pStyle w:val="Heading2"/>
      </w:pPr>
      <w:r>
        <w:t xml:space="preserve">1. Introduction</w:t>
      </w:r>
    </w:p>
    <w:p>
      <w:pPr>
        <w:pStyle w:val="FirstParagraph"/>
      </w:pPr>
      <w:r>
        <w:t xml:space="preserve">The role of the</w:t>
      </w:r>
      <w:r>
        <w:t xml:space="preserve"> </w:t>
      </w:r>
      <w:r>
        <w:rPr>
          <w:bCs/>
          <w:b/>
        </w:rPr>
        <w:t xml:space="preserve">Academic Researcher</w:t>
      </w:r>
      <w:r>
        <w:t xml:space="preserve"> </w:t>
      </w:r>
      <w:r>
        <w:t xml:space="preserve">extends far beyond traditional teaching duties. In the modern university landscape, these professionals are the engines of innovation, driving discovery across various disciplines ranging from environmental science to artificial intelligence. This report contextualizes that role within</w:t>
      </w:r>
    </w:p>
    <w:p>
      <w:pPr>
        <w:pStyle w:val="BodyText"/>
      </w:pPr>
      <w:r>
        <w:t xml:space="preserve">Canada Vancouver, a city renowned for its high quality of life, diverse population, and robust research infrastructure.</w:t>
      </w:r>
    </w:p>
    <w:p>
      <w:pPr>
        <w:pStyle w:val="BodyText"/>
      </w:pPr>
      <w:r>
        <w:t xml:space="preserve">Vancouver is home to several prestigious institutions, including the University of British Columbia (UBC) and Simon Fraser University (SFU). These institutions attract top-tier talent from around the globe. The focus on</w:t>
      </w:r>
    </w:p>
    <w:p>
      <w:pPr>
        <w:pStyle w:val="BodyText"/>
      </w:pPr>
      <w:r>
        <w:t xml:space="preserve">Academic Researcher positions in this region is not merely about filling vacancies but about securing individuals who can navigate the complex interplay between local community needs, national mandates of</w:t>
      </w:r>
    </w:p>
    <w:p>
      <w:pPr>
        <w:pStyle w:val="BodyText"/>
      </w:pPr>
      <w:r>
        <w:t xml:space="preserve">Canada, and global scientific standards. This report aims to elucidate why Vancouver is an optimal location for high-impact research and what defines success in such a role.</w:t>
      </w:r>
    </w:p>
    <w:bookmarkEnd w:id="20"/>
    <w:bookmarkStart w:id="21" w:name="X23c24832c4078d9ccf2153677a58a1ac778f947"/>
    <w:p>
      <w:pPr>
        <w:pStyle w:val="Heading2"/>
      </w:pPr>
      <w:r>
        <w:t xml:space="preserve">2. Strategic Importance of Academic Researcher Roles in Canada</w:t>
      </w:r>
    </w:p>
    <w:p>
      <w:pPr>
        <w:pStyle w:val="FirstParagraph"/>
      </w:pPr>
      <w:r>
        <w:t xml:space="preserve">Nationally,</w:t>
      </w:r>
    </w:p>
    <w:p>
      <w:pPr>
        <w:pStyle w:val="BodyText"/>
      </w:pPr>
      <w:r>
        <w:t xml:space="preserve">Canada</w:t>
      </w:r>
    </w:p>
    <w:p>
      <w:pPr>
        <w:pStyle w:val="BodyText"/>
      </w:pPr>
      <w:r>
        <w:t xml:space="preserve">'s research strategy relies heavily on the output of its academic workforce. The federal government has committed significant resources to the Tri-Council Funding Agencies (CIHR, NSERC, SSHRC) to support scholarly inquiry. However, the distribution of these benefits is not uniform; it is heavily concentrated in innovation hubs.</w:t>
      </w:r>
    </w:p>
    <w:p>
      <w:pPr>
        <w:pStyle w:val="BodyText"/>
      </w:pPr>
      <w:r>
        <w:t xml:space="preserve">An</w:t>
      </w:r>
      <w:r>
        <w:t xml:space="preserve"> </w:t>
      </w:r>
      <w:r>
        <w:rPr>
          <w:bCs/>
          <w:b/>
        </w:rPr>
        <w:t xml:space="preserve">Academic Researcher</w:t>
      </w:r>
      <w:r>
        <w:t xml:space="preserve"> </w:t>
      </w:r>
      <w:r>
        <w:t xml:space="preserve">in this context acts as a conduit for federal and provincial funds into tangible outcomes. Whether developing new pharmaceuticals, creating sustainable urban planning models, or advancing digital humanities, these researchers translate abstract curiosity into societal benefit. The report highlights that the retention of skilled Academic Researchers is crucial for maintaining Canada’s competitive edge on the global stage. Without a robust pipeline of dedicated scholars, the nation risks brain drain to other international hubs.</w:t>
      </w:r>
    </w:p>
    <w:bookmarkEnd w:id="21"/>
    <w:bookmarkStart w:id="23" w:name="the-unique-context-of-canada-vancouver"/>
    <w:p>
      <w:pPr>
        <w:pStyle w:val="Heading2"/>
      </w:pPr>
      <w:r>
        <w:t xml:space="preserve">3. The Unique Context of Canada Vancouver</w:t>
      </w:r>
    </w:p>
    <w:p>
      <w:pPr>
        <w:pStyle w:val="FirstParagraph"/>
      </w:pPr>
      <w:r>
        <w:t xml:space="preserve">Vancouver presents a distinct environment for academic inquiry compared to Toronto or Montreal. The geography and climate of British Columbia dictate specific research priorities. For instance, Environmental Science is paramount in</w:t>
      </w:r>
    </w:p>
    <w:p>
      <w:pPr>
        <w:pStyle w:val="BodyText"/>
      </w:pPr>
      <w:r>
        <w:t xml:space="preserve">Canada Vancouver, given the region’s vulnerability to climate change, wildfires, and sea-level rise.</w:t>
      </w:r>
    </w:p>
    <w:bookmarkStart w:id="22" w:name="key-research-clusters"/>
    <w:p>
      <w:pPr>
        <w:pStyle w:val="Heading3"/>
      </w:pPr>
      <w:r>
        <w:t xml:space="preserve">3.1 Key Research Clusters</w:t>
      </w:r>
    </w:p>
    <w:p>
      <w:pPr>
        <w:numPr>
          <w:ilvl w:val="0"/>
          <w:numId w:val="1001"/>
        </w:numPr>
        <w:pStyle w:val="Compact"/>
      </w:pPr>
      <w:r>
        <w:rPr>
          <w:bCs/>
          <w:b/>
        </w:rPr>
        <w:t xml:space="preserve">Environmental Sustainability:</w:t>
      </w:r>
    </w:p>
    <w:p>
      <w:pPr>
        <w:numPr>
          <w:ilvl w:val="0"/>
          <w:numId w:val="1001"/>
        </w:numPr>
        <w:pStyle w:val="Compact"/>
      </w:pPr>
      <w:r>
        <w:rPr>
          <w:bCs/>
          <w:b/>
        </w:rPr>
        <w:t xml:space="preserve">Technology and Digital Media:</w:t>
      </w:r>
    </w:p>
    <w:p>
      <w:pPr>
        <w:numPr>
          <w:ilvl w:val="0"/>
          <w:numId w:val="1001"/>
        </w:numPr>
        <w:pStyle w:val="Compact"/>
      </w:pPr>
      <w:r>
        <w:rPr>
          <w:bCs/>
          <w:b/>
        </w:rPr>
        <w:t xml:space="preserve">Indigenous Studies and Social Sciences:</w:t>
      </w:r>
    </w:p>
    <w:bookmarkEnd w:id="22"/>
    <w:bookmarkEnd w:id="23"/>
    <w:bookmarkStart w:id="27" w:name="X7ed307fae604b38c45969214b4506ecd6335f66"/>
    <w:p>
      <w:pPr>
        <w:pStyle w:val="Heading2"/>
      </w:pPr>
      <w:r>
        <w:t xml:space="preserve">4. Operational Framework and Responsibilities</w:t>
      </w:r>
    </w:p>
    <w:p>
      <w:pPr>
        <w:pStyle w:val="FirstParagraph"/>
      </w:pPr>
      <w:r>
        <w:t xml:space="preserve">The job description for an</w:t>
      </w:r>
      <w:r>
        <w:t xml:space="preserve"> </w:t>
      </w:r>
      <w:r>
        <w:rPr>
          <w:bCs/>
          <w:b/>
        </w:rPr>
        <w:t xml:space="preserve">Academic Researcher</w:t>
      </w:r>
      <w:r>
        <w:t xml:space="preserve"> </w:t>
      </w:r>
      <w:r>
        <w:t xml:space="preserve">in Vancouver is multifaceted. It involves a delicate balance of grant writing, data analysis, peer-reviewed publication, and mentorship of graduate students.</w:t>
      </w:r>
    </w:p>
    <w:bookmarkStart w:id="24" w:name="grant-acquisition-and-management"/>
    <w:p>
      <w:pPr>
        <w:pStyle w:val="Heading3"/>
      </w:pPr>
      <w:r>
        <w:t xml:space="preserve">4.1 Grant Acquisition and Management</w:t>
      </w:r>
    </w:p>
    <w:p>
      <w:pPr>
        <w:pStyle w:val="FirstParagraph"/>
      </w:pPr>
      <w:r>
        <w:t xml:space="preserve">A significant portion of an Academic Researcher’s time is dedicated to securing funding. In</w:t>
      </w:r>
    </w:p>
    <w:p>
      <w:pPr>
        <w:pStyle w:val="BodyText"/>
      </w:pPr>
      <w:r>
        <w:t xml:space="preserve">Canada Vancouver, researchers must compete not only nationally but also internationally for grants from bodies like the Natural Sciences and Engineering Research Council (NSERC). Successful grant acquisition ensures laboratory equipment, student stipends, and operational continuity.</w:t>
      </w:r>
    </w:p>
    <w:bookmarkEnd w:id="24"/>
    <w:bookmarkStart w:id="25" w:name="collaborative-networks"/>
    <w:p>
      <w:pPr>
        <w:pStyle w:val="Heading3"/>
      </w:pPr>
      <w:r>
        <w:t xml:space="preserve">4.2 Collaborative Networks</w:t>
      </w:r>
    </w:p>
    <w:p>
      <w:pPr>
        <w:pStyle w:val="FirstParagraph"/>
      </w:pPr>
      <w:r>
        <w:t xml:space="preserve">Vancouver’s academic institutions are deeply interconnected with industry partners. For example, the University of British Columbia has strong ties to the biotech companies in the Richmond area. Academic Researchers are expected to foster these partnerships, translating academic findings into commercial applications or policy recommendations.</w:t>
      </w:r>
    </w:p>
    <w:bookmarkEnd w:id="25"/>
    <w:bookmarkStart w:id="26" w:name="community-engagement"/>
    <w:p>
      <w:pPr>
        <w:pStyle w:val="Heading3"/>
      </w:pPr>
      <w:r>
        <w:t xml:space="preserve">4.3 Community Engagement</w:t>
      </w:r>
    </w:p>
    <w:p>
      <w:pPr>
        <w:pStyle w:val="FirstParagraph"/>
      </w:pPr>
      <w:r>
        <w:t xml:space="preserve">In contrast to more isolated research models, Vancouver emphasizes "public scholarship." Academic Researchers are encouraged to engage with the public through media appearances, community workshops, and open-access publications. This transparency is vital for maintaining public trust in scientific inquiry.</w:t>
      </w:r>
    </w:p>
    <w:bookmarkEnd w:id="26"/>
    <w:bookmarkEnd w:id="27"/>
    <w:bookmarkStart w:id="28" w:name="challenges-and-considerations"/>
    <w:p>
      <w:pPr>
        <w:pStyle w:val="Heading2"/>
      </w:pPr>
      <w:r>
        <w:t xml:space="preserve">5. Challenges and Considerations</w:t>
      </w:r>
    </w:p>
    <w:p>
      <w:pPr>
        <w:pStyle w:val="FirstParagraph"/>
      </w:pPr>
      <w:r>
        <w:t xml:space="preserve">Despite its advantages, the role of an Academic Researcher in</w:t>
      </w:r>
    </w:p>
    <w:p>
      <w:pPr>
        <w:pStyle w:val="BodyText"/>
      </w:pPr>
      <w:r>
        <w:t xml:space="preserve">Canada Vancouver faces notable challenges.</w:t>
      </w:r>
    </w:p>
    <w:p>
      <w:pPr>
        <w:numPr>
          <w:ilvl w:val="0"/>
          <w:numId w:val="1002"/>
        </w:numPr>
        <w:pStyle w:val="Compact"/>
      </w:pPr>
      <w:r>
        <w:rPr>
          <w:bCs/>
          <w:b/>
        </w:rPr>
        <w:t xml:space="preserve">Housing Cost:</w:t>
      </w:r>
      <w:r>
        <w:t xml:space="preserve"> </w:t>
      </w:r>
      <w:r>
        <w:t xml:space="preserve">Vancouver is one of the most expensive cities in Canada. High housing costs can deter potential candidates, making competitive compensation packages essential for attracting top talent.</w:t>
      </w:r>
    </w:p>
    <w:p>
      <w:pPr>
        <w:numPr>
          <w:ilvl w:val="0"/>
          <w:numId w:val="1002"/>
        </w:numPr>
        <w:pStyle w:val="Compact"/>
      </w:pPr>
      <w:r>
        <w:t xml:space="preserve">Competition for Talent: The global nature of academia means that researchers are competing with institutions in Europe, Asia, and the United States. Institutions must offer a compelling vision and support system to retain their staff.</w:t>
      </w:r>
    </w:p>
    <w:p>
      <w:pPr>
        <w:numPr>
          <w:ilvl w:val="0"/>
          <w:numId w:val="1002"/>
        </w:numPr>
        <w:pStyle w:val="Compact"/>
      </w:pPr>
      <w:r>
        <w:t xml:space="preserve">Bureaucratic Hurdles: Navigating immigration processes for international researchers can be complex. While</w:t>
      </w:r>
    </w:p>
    <w:p>
      <w:pPr>
        <w:numPr>
          <w:ilvl w:val="0"/>
          <w:numId w:val="1000"/>
        </w:numPr>
        <w:pStyle w:val="Compact"/>
      </w:pPr>
      <w:r>
        <w:t xml:space="preserve">Canada has favorable immigration policies, administrative delays can impact project timelines.</w:t>
      </w:r>
    </w:p>
    <w:bookmarkEnd w:id="28"/>
    <w:bookmarkStart w:id="29" w:name="future-projections-and-recommendations"/>
    <w:p>
      <w:pPr>
        <w:pStyle w:val="Heading2"/>
      </w:pPr>
      <w:r>
        <w:t xml:space="preserve">6. Future Projections and Recommendations</w:t>
      </w:r>
    </w:p>
    <w:p>
      <w:pPr>
        <w:pStyle w:val="FirstParagraph"/>
      </w:pPr>
      <w:r>
        <w:t xml:space="preserve">To maintain its status as a premier research destination, the academic community in Vancouver must adapt to evolving trends. The following recommendations are proposed for institutional leaders:</w:t>
      </w:r>
    </w:p>
    <w:p>
      <w:pPr>
        <w:numPr>
          <w:ilvl w:val="0"/>
          <w:numId w:val="1003"/>
        </w:numPr>
        <w:pStyle w:val="Compact"/>
      </w:pPr>
      <w:r>
        <w:t xml:space="preserve">Invest in Interdisciplinary Centers: Encourage collaboration between departments. For example, combining computer science with environmental science to create AI-driven climate solutions.</w:t>
      </w:r>
    </w:p>
    <w:p>
      <w:pPr>
        <w:numPr>
          <w:ilvl w:val="0"/>
          <w:numId w:val="1003"/>
        </w:numPr>
        <w:pStyle w:val="Compact"/>
      </w:pPr>
      <w:r>
        <w:t xml:space="preserve">Enhance Support for Early-Career Researchers: Provide dedicated mentorship programs and seed funding for junior faculty who are establishing their labs.</w:t>
      </w:r>
    </w:p>
    <w:p>
      <w:pPr>
        <w:numPr>
          <w:ilvl w:val="0"/>
          <w:numId w:val="1003"/>
        </w:numPr>
        <w:pStyle w:val="Compact"/>
      </w:pPr>
      <w:r>
        <w:t xml:space="preserve">Promote Diversity and Inclusion: Actively recruit Academic Researchers from underrepresented groups to bring diverse perspectives to research problems.</w:t>
      </w:r>
    </w:p>
    <w:p>
      <w:pPr>
        <w:numPr>
          <w:ilvl w:val="0"/>
          <w:numId w:val="1003"/>
        </w:numPr>
        <w:pStyle w:val="Compact"/>
      </w:pPr>
      <w:r>
        <w:t xml:space="preserve">Leverage Digital Infrastructure: Invest in high-performance computing resources to support big data analytics, a growing field in Vancouver’s academic sector.</w:t>
      </w:r>
    </w:p>
    <w:bookmarkEnd w:id="29"/>
    <w:bookmarkStart w:id="30" w:name="conclusion"/>
    <w:p>
      <w:pPr>
        <w:pStyle w:val="Heading2"/>
      </w:pPr>
      <w:r>
        <w:t xml:space="preserve">7. Conclusion</w:t>
      </w:r>
    </w:p>
    <w:p>
      <w:pPr>
        <w:pStyle w:val="FirstParagraph"/>
      </w:pPr>
      <w:r>
        <w:t xml:space="preserve">In conclusion, the position of an</w:t>
      </w:r>
      <w:r>
        <w:t xml:space="preserve"> </w:t>
      </w:r>
      <w:r>
        <w:rPr>
          <w:bCs/>
          <w:b/>
        </w:rPr>
        <w:t xml:space="preserve">Academic Researcher</w:t>
      </w:r>
      <w:r>
        <w:t xml:space="preserve"> </w:t>
      </w:r>
      <w:r>
        <w:t xml:space="preserve">is pivotal to the intellectual and economic health of institutions in</w:t>
      </w:r>
    </w:p>
    <w:p>
      <w:pPr>
        <w:pStyle w:val="BodyText"/>
      </w:pPr>
      <w:r>
        <w:t xml:space="preserve">Vancouver, Canada. These professionals do not merely conduct studies; they shape policy, drive innovation, and educate future generations. While challenges such as housing costs and global competition exist, the unique advantages of Vancouver—its natural beauty, cultural diversity, and progressive research culture—make it an ideal location for high-impact scholarly work.</w:t>
      </w:r>
    </w:p>
    <w:p>
      <w:pPr>
        <w:pStyle w:val="BodyText"/>
      </w:pPr>
      <w:r>
        <w:t xml:space="preserve">This Project Report underscores the need for strategic investment in human capital. By supporting Academic Researchers with adequate resources and infrastructure, Canada can ensure that Vancouver remains at the forefront of global academic achievement. The synergy between local initiatives and national goals creates a resilient framework for future discoveries. As we move forward, it is imperative that all stakeholders recognize the value of these roles and work collaboratively to sustain an environment where research thrives.</w:t>
      </w:r>
    </w:p>
    <w:p>
      <w:pPr>
        <w:pStyle w:val="BodyText"/>
      </w:pPr>
      <w:r>
        <w:t xml:space="preserve">The continued success of Canadian academia relies on the dedication and creativity of its researchers. Vancouver, with its distinctive blend of urban sophistication and natural wonder, offers a fertile ground for such endeavors. It is our recommendation that all relevant bodies prioritize the recruitment, retention, and support of Academic Researchers to secure Canada’s position as a global leader in science and scholarship.</w:t>
      </w:r>
    </w:p>
    <w:p>
      <w:pPr>
        <w:pStyle w:val="BodyText"/>
      </w:pPr>
      <w:r>
        <w:t xml:space="preserve">Prepared by:Dr. Eleanor SterlingDirector of Research StrategyInstitutional Analysis Office, Canada Vancouver Division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Role in Canada, Vancouver</dc:title>
  <dc:creator/>
  <dc:language>en</dc:language>
  <cp:keywords/>
  <dcterms:created xsi:type="dcterms:W3CDTF">2026-07-29T05:10:34Z</dcterms:created>
  <dcterms:modified xsi:type="dcterms:W3CDTF">2026-07-29T05:10:34Z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