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46d77faed90c749613a508b6daf9decccd8487c"/>
    <w:p>
      <w:pPr>
        <w:pStyle w:val="Heading1"/>
      </w:pPr>
      <w:r>
        <w:t xml:space="preserve">Project Report: Strategic Integration of Academic Researcher Roles in the Osaka Innovation Ecosystem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Culture, Sports, Science and Technology (MEXT) / Osaka Prefectural Government</w:t>
      </w:r>
      <w:r>
        <w:br/>
      </w:r>
    </w:p>
    <w:p>
      <w:pPr>
        <w:pStyle w:val="BodyText"/>
      </w:pPr>
      <w:r>
        <w:t xml:space="preserve">From: Office of Strategic Academic Partnerships</w:t>
      </w:r>
      <w:r>
        <w:br/>
      </w:r>
      <w:r>
        <w:rPr>
          <w:bCs/>
          <w:b/>
        </w:rPr>
        <w:t xml:space="preserve">Subject:</w:t>
      </w:r>
    </w:p>
    <w:p>
      <w:pPr>
        <w:pStyle w:val="BodyText"/>
      </w:pPr>
      <w:r>
        <w:t xml:space="preserve">Comprehensive Framework for Establishing and Sustaining an Academic Researcher Position within Japan, Osaka</w:t>
      </w:r>
    </w:p>
    <w:bookmarkStart w:id="20" w:name="executive-summary"/>
    <w:p>
      <w:pPr>
        <w:pStyle w:val="Heading2"/>
      </w:pPr>
      <w:r>
        <w:t xml:space="preserve">1. Executive Summary</w:t>
      </w:r>
    </w:p>
    <w:p>
      <w:pPr>
        <w:pStyle w:val="FirstParagraph"/>
      </w:pPr>
      <w:r>
        <w:t xml:space="preserve">This Project Report outlines the critical necessity, structural framework, and strategic implementation plan for integrating a dedicated Academic Researcher position into the evolving scientific landscape of Japan, specifically focusing on the dynamic metropolitan hub of Osaka. As global competition in scientific discovery intensifies, it is imperative that academic institutions within this region adapt to foster an environment where rigorous inquiry meets practical application. The primary objective of this report is to define the scope, responsibilities, and expected outcomes for an Academic Researcher tasked with bridging the gap between theoretical academia and industrial innovation in Japan Osaka.</w:t>
      </w:r>
    </w:p>
    <w:p>
      <w:pPr>
        <w:pStyle w:val="BodyText"/>
      </w:pPr>
      <w:r>
        <w:t xml:space="preserve">The proposed initiative seeks to leverage the unique economic and cultural assets of Osaka while adhering to national standards set forth by Japanese academic bodies. By establishing a robust role for an Academic Researcher, we aim to enhance research output, secure international funding, and cultivate a new generation of scientists capable of addressing both local challenges in Japan and global issues through the lens of Osaka’s historical significance as a center for commerce and culture.</w:t>
      </w:r>
    </w:p>
    <w:bookmarkEnd w:id="20"/>
    <w:bookmarkStart w:id="23" w:name="background-and-contextual-analysis"/>
    <w:p>
      <w:pPr>
        <w:pStyle w:val="Heading2"/>
      </w:pPr>
      <w:r>
        <w:t xml:space="preserve">2. Background and Contextual Analysis</w:t>
      </w:r>
    </w:p>
    <w:bookmarkStart w:id="21" w:name="the-landscape-of-academia-in-japan"/>
    <w:p>
      <w:pPr>
        <w:pStyle w:val="Heading3"/>
      </w:pPr>
      <w:r>
        <w:t xml:space="preserve">2.1 The Landscape of Academia in Japan</w:t>
      </w:r>
    </w:p>
    <w:p>
      <w:pPr>
        <w:pStyle w:val="FirstParagraph"/>
      </w:pPr>
      <w:r>
        <w:t xml:space="preserve">The academic research environment in Japan is characterized by a high density of technological prowess and a deep respect for tradition. However, recent years have highlighted the need for greater internationalization and cross-sector collaboration. Traditional university structures often struggle with bureaucratic rigidity, which can stifle rapid innovation. Consequently, there is a pressing need for agile roles that can navigate both academic protocols and industry requirements.</w:t>
      </w:r>
    </w:p>
    <w:bookmarkEnd w:id="21"/>
    <w:bookmarkStart w:id="22" w:name="the-unique-position-of-japan-osaka"/>
    <w:p>
      <w:pPr>
        <w:pStyle w:val="Heading3"/>
      </w:pPr>
      <w:r>
        <w:t xml:space="preserve">2.2 The Unique Position of Japan Osaka</w:t>
      </w:r>
    </w:p>
    <w:p>
      <w:pPr>
        <w:pStyle w:val="FirstParagraph"/>
      </w:pPr>
      <w:r>
        <w:t xml:space="preserve">Osaka stands as the second-largest metropolitan area in Japan and has historically been known as "the nation's kitchen" due to its vibrant commercial history. In recent decades, the city has aggressively pursued a transformation into a global hub for life sciences, artificial intelligence, and robotics. The presence of renowned institutions such as Osaka University and Kyoto University (in the wider Kansai region) provides a fertile ground for collaboration. However, the synergy between these elite institutions and local startups remains underutilized.</w:t>
      </w:r>
    </w:p>
    <w:p>
      <w:pPr>
        <w:pStyle w:val="BodyText"/>
      </w:pPr>
      <w:r>
        <w:t xml:space="preserve">The role of an Academic Researcher in this specific context is not merely to conduct experiments but to act as a catalyst. Japan Osaka offers a distinct ecosystem where historical merchant ethics meet cutting-edge technology. This unique cultural backdrop allows for an academic approach that values long-term relationship building and sustainable development, distinguishing it from other global research hubs.</w:t>
      </w:r>
    </w:p>
    <w:bookmarkEnd w:id="22"/>
    <w:bookmarkEnd w:id="23"/>
    <w:bookmarkStart w:id="24" w:name="project-objectives"/>
    <w:p>
      <w:pPr>
        <w:pStyle w:val="Heading2"/>
      </w:pPr>
      <w:r>
        <w:t xml:space="preserve">3. Project Objectives</w:t>
      </w:r>
    </w:p>
    <w:p>
      <w:pPr>
        <w:pStyle w:val="FirstParagraph"/>
      </w:pPr>
      <w:r>
        <w:t xml:space="preserve">The establishment of the Academic Researcher position in Japan Osaka is driven by three core objectives:</w:t>
      </w:r>
    </w:p>
    <w:p>
      <w:pPr>
        <w:numPr>
          <w:ilvl w:val="0"/>
          <w:numId w:val="1001"/>
        </w:numPr>
        <w:pStyle w:val="Compact"/>
      </w:pPr>
      <w:r>
        <w:rPr>
          <w:bCs/>
          <w:b/>
        </w:rPr>
        <w:t xml:space="preserve">Enhancement of Interdisciplinary Collaboration:</w:t>
      </w:r>
    </w:p>
    <w:p>
      <w:pPr>
        <w:numPr>
          <w:ilvl w:val="0"/>
          <w:numId w:val="1001"/>
        </w:numPr>
        <w:pStyle w:val="Compact"/>
      </w:pPr>
      <w:r>
        <w:t xml:space="preserve">Foster partnerships between natural sciences, social sciences, and engineering disciplines within local universities.</w:t>
      </w:r>
    </w:p>
    <w:p>
      <w:pPr>
        <w:pStyle w:val="FirstParagraph"/>
      </w:pPr>
      <w:r>
        <w:rPr>
          <w:bCs/>
          <w:b/>
        </w:rPr>
        <w:t xml:space="preserve">Commercialization of Research:</w:t>
      </w:r>
    </w:p>
    <w:p>
      <w:pPr>
        <w:pStyle w:val="BodyText"/>
      </w:pPr>
      <w:r>
        <w:t xml:space="preserve">Promote the transfer of intellectual property from academic labs to local industries in Japan Osaka, ensuring that research contributes directly to economic growth.</w:t>
      </w:r>
    </w:p>
    <w:p>
      <w:pPr>
        <w:pStyle w:val="FirstParagraph"/>
      </w:pPr>
      <w:r>
        <w:rPr>
          <w:bCs/>
          <w:b/>
        </w:rPr>
        <w:t xml:space="preserve">Global Visibility and Funding Acquisition:</w:t>
      </w:r>
    </w:p>
    <w:p>
      <w:pPr>
        <w:pStyle w:val="BodyText"/>
      </w:pPr>
      <w:r>
        <w:t xml:space="preserve">Increase the international profile of Osaka-based research initiatives, securing grants from global bodies such as the EU Horizon Europe or international private foundations.</w:t>
      </w:r>
    </w:p>
    <w:bookmarkEnd w:id="24"/>
    <w:bookmarkStart w:id="25" w:name="Xe8b3539cdac80803d46b23b5daa540ce6fc3ef5"/>
    <w:p>
      <w:pPr>
        <w:pStyle w:val="Heading2"/>
      </w:pPr>
      <w:r>
        <w:t xml:space="preserve">4. Scope of Work for the Academic Researcher</w:t>
      </w:r>
    </w:p>
    <w:p>
      <w:pPr>
        <w:pStyle w:val="FirstParagraph"/>
      </w:pPr>
      <w:r>
        <w:t xml:space="preserve">The Academic Researcher will operate under a hybrid model, serving both institutional academic goals and regional economic initiatives. The specific duties include:</w:t>
      </w:r>
    </w:p>
    <w:p>
      <w:pPr>
        <w:pStyle w:val="BodyText"/>
      </w:pPr>
      <w:r>
        <w:rPr>
          <w:bCs/>
          <w:b/>
        </w:rPr>
        <w:t xml:space="preserve">Rapid Literature Review and Strategic Planning:</w:t>
      </w:r>
    </w:p>
    <w:p>
      <w:pPr>
        <w:pStyle w:val="BodyText"/>
      </w:pPr>
      <w:r>
        <w:t xml:space="preserve">Conducting comprehensive reviews of emerging trends in biotechnology and data science, tailored to the industrial needs of companies located in Japan Osaka.</w:t>
      </w:r>
    </w:p>
    <w:p>
      <w:pPr>
        <w:numPr>
          <w:ilvl w:val="0"/>
          <w:numId w:val="1003"/>
        </w:numPr>
        <w:pStyle w:val="Compact"/>
      </w:pPr>
      <w:r>
        <w:t xml:space="preserve">Serving as the primary point of contact between university departments and private sector entities. This involves organizing symposiums, workshops, and networking events that facilitate knowledge exchange within the Japan Osaka tech corridor.</w:t>
      </w:r>
    </w:p>
    <w:p>
      <w:pPr>
        <w:numPr>
          <w:ilvl w:val="0"/>
          <w:numId w:val="1004"/>
        </w:numPr>
        <w:pStyle w:val="Compact"/>
      </w:pPr>
      <w:r>
        <w:t xml:space="preserve">Drafting high-quality proposals for national and international funding. The Academic Researcher must ensure strict adherence to the regulatory frameworks governing research in Japan, including ethical standards and data privacy laws.</w:t>
      </w:r>
    </w:p>
    <w:bookmarkEnd w:id="25"/>
    <w:bookmarkStart w:id="26" w:name="implementation-timeline"/>
    <w:p>
      <w:pPr>
        <w:pStyle w:val="Heading2"/>
      </w:pPr>
      <w:r>
        <w:t xml:space="preserve">5. Implementation Timeline</w:t>
      </w:r>
    </w:p>
    <w:p>
      <w:pPr>
        <w:pStyle w:val="FirstParagraph"/>
      </w:pPr>
      <w:r>
        <w:t xml:space="preserve">The project is divided into three phases over a twelve-month period:</w:t>
      </w:r>
    </w:p>
    <w:p>
      <w:pPr>
        <w:pStyle w:val="BodyText"/>
      </w:pPr>
      <w:r>
        <w:rPr>
          <w:bCs/>
          <w:b/>
        </w:rPr>
        <w:t xml:space="preserve">Phase 1: Foundation (Months 1-3):</w:t>
      </w:r>
    </w:p>
    <w:p>
      <w:pPr>
        <w:pStyle w:val="BodyText"/>
      </w:pPr>
      <w:r>
        <w:t xml:space="preserve">Hiring and onboarding of the Academic Researcher. Initial assessment of existing university-industry partnerships in Japan Osaka. Establishment of key performance indicators (KPIs).</w:t>
      </w:r>
    </w:p>
    <w:p>
      <w:pPr>
        <w:numPr>
          <w:ilvl w:val="0"/>
          <w:numId w:val="1005"/>
        </w:numPr>
        <w:pStyle w:val="Compact"/>
      </w:pPr>
      <w:r>
        <w:t xml:space="preserve">Launch of the first interdisciplinary seminar series. Initiation of two major grant applications focused on life sciences and smart city infrastructure, key sectors for Osaka.</w:t>
      </w:r>
    </w:p>
    <w:p>
      <w:pPr>
        <w:numPr>
          <w:ilvl w:val="0"/>
          <w:numId w:val="1006"/>
        </w:numPr>
        <w:pStyle w:val="Compact"/>
      </w:pPr>
      <w:r>
        <w:t xml:space="preserve">A comprehensive review of the Academic Researcher’s impact. Adjustment of strategies based on feedback from local stakeholders in Japan. Planning for long-term sustainability.</w:t>
      </w:r>
    </w:p>
    <w:bookmarkEnd w:id="26"/>
    <w:bookmarkStart w:id="27" w:name="expected-outcomes-and-impact"/>
    <w:p>
      <w:pPr>
        <w:pStyle w:val="Heading2"/>
      </w:pPr>
      <w:r>
        <w:t xml:space="preserve">6. Expected Outcomes and Impact</w:t>
      </w:r>
    </w:p>
    <w:p>
      <w:pPr>
        <w:pStyle w:val="FirstParagraph"/>
      </w:pPr>
      <w:r>
        <w:t xml:space="preserve">The successful execution of this project will yield tangible benefits for the academic community and the broader society in Japan Osaka. We anticipate a measurable increase in joint publications between academia and industry by at least twenty percent within the first year. Furthermore, the establishment of a clear pathway for research commercialization will stimulate local job creation in high-tech sectors.</w:t>
      </w:r>
    </w:p>
    <w:p>
      <w:pPr>
        <w:pStyle w:val="BodyText"/>
      </w:pPr>
      <w:r>
        <w:t xml:space="preserve">Moreover, this initiative aims to position Japan Osaka as a model for academic-industry integration globally. By demonstrating how an Academic Researcher can effectively navigate complex cultural and bureaucratic landscapes, other regions may replicate this success. The focus on sustainability and ethical research practices aligns with the global mission of modern academia while honoring the traditional values prevalent in Japan.</w:t>
      </w:r>
    </w:p>
    <w:bookmarkEnd w:id="27"/>
    <w:bookmarkStart w:id="28" w:name="conclusion"/>
    <w:p>
      <w:pPr>
        <w:pStyle w:val="Heading2"/>
      </w:pPr>
      <w:r>
        <w:t xml:space="preserve">7. Conclusion</w:t>
      </w:r>
    </w:p>
    <w:p>
      <w:pPr>
        <w:pStyle w:val="FirstParagraph"/>
      </w:pPr>
      <w:r>
        <w:t xml:space="preserve">The integration of a specialized Academic Researcher role is not merely an administrative addition but a strategic imperative for maintaining competitiveness in the global knowledge economy. For Japan Osaka, this project represents an opportunity to harness its historical strengths in commerce and innovation, applying them to modern scientific challenges.</w:t>
      </w:r>
    </w:p>
    <w:p>
      <w:pPr>
        <w:pStyle w:val="BodyText"/>
      </w:pPr>
      <w:r>
        <w:t xml:space="preserve">We recommend immediate approval of this Project Report to begin the recruitment process. The synergy between rigorous academic inquiry and the vibrant industrial landscape of Japan Osaka offers unparalleled potential for discovery. By empowering an Academic Researcher with the resources and authority outlined herein, we can ensure that our region remains at the forefront of scientific advancement.</w:t>
      </w:r>
    </w:p>
    <w:p>
      <w:pPr>
        <w:pStyle w:val="BodyText"/>
      </w:pPr>
      <w:r>
        <w:rPr>
          <w:bCs/>
          <w:b/>
        </w:rPr>
        <w:t xml:space="preserve">Prepared by:</w:t>
      </w:r>
      <w:r>
        <w:br/>
      </w:r>
      <w:r>
        <w:t xml:space="preserve">Department of Academic Affairs</w:t>
      </w:r>
      <w:r>
        <w:br/>
      </w:r>
      <w:r>
        <w:t xml:space="preserve">Osaka Regional Innovation Council</w:t>
      </w:r>
    </w:p>
    <w:p>
      <w:pPr>
        <w:pStyle w:val="BodyText"/>
      </w:pPr>
      <w:r>
        <w:rPr>
          <w:bCs/>
          <w:b/>
        </w:rPr>
        <w:t xml:space="preserve">Date:</w:t>
      </w:r>
      <w:r>
        <w:t xml:space="preserve"> </w:t>
      </w:r>
      <w:r>
        <w:t xml:space="preserve">October 26,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703">
    <w:nsid w:val="A99703"/>
    <w:multiLevelType w:val="multilevel"/>
    <w:lvl w:ilvl="0">
      <w:start w:val="3"/>
      <w:numFmt w:val="lowerLetter"/>
      <w:lvlText w:val="%1."/>
      <w:lvlJc w:val="left"/>
      <w:pPr>
        <w:ind w:left="720" w:hanging="480"/>
      </w:pPr>
    </w:lvl>
    <w:lvl w:ilvl="1">
      <w:start w:val="3"/>
      <w:numFmt w:val="lowerLetter"/>
      <w:lvlText w:val="%2."/>
      <w:lvlJc w:val="left"/>
      <w:pPr>
        <w:ind w:left="1440" w:hanging="480"/>
      </w:pPr>
    </w:lvl>
    <w:lvl w:ilvl="2">
      <w:start w:val="3"/>
      <w:numFmt w:val="lowerLetter"/>
      <w:lvlText w:val="%3."/>
      <w:lvlJc w:val="left"/>
      <w:pPr>
        <w:ind w:left="2160" w:hanging="480"/>
      </w:pPr>
    </w:lvl>
    <w:lvl w:ilvl="3">
      <w:start w:val="3"/>
      <w:numFmt w:val="lowerLetter"/>
      <w:lvlText w:val="%4."/>
      <w:lvlJc w:val="left"/>
      <w:pPr>
        <w:ind w:left="2880" w:hanging="480"/>
      </w:pPr>
    </w:lvl>
    <w:lvl w:ilvl="4">
      <w:start w:val="3"/>
      <w:numFmt w:val="lowerLetter"/>
      <w:lvlText w:val="%5."/>
      <w:lvlJc w:val="left"/>
      <w:pPr>
        <w:ind w:left="3600" w:hanging="480"/>
      </w:pPr>
    </w:lvl>
    <w:lvl w:ilvl="5">
      <w:start w:val="3"/>
      <w:numFmt w:val="lowerLetter"/>
      <w:lvlText w:val="%6."/>
      <w:lvlJc w:val="left"/>
      <w:pPr>
        <w:ind w:left="4320" w:hanging="480"/>
      </w:pPr>
    </w:lvl>
    <w:lvl w:ilvl="6">
      <w:start w:val="3"/>
      <w:numFmt w:val="lowerLetter"/>
      <w:lvlText w:val="%7."/>
      <w:lvlJc w:val="left"/>
      <w:pPr>
        <w:ind w:left="5040" w:hanging="480"/>
      </w:pPr>
    </w:lvl>
    <w:lvl w:ilvl="7">
      <w:start w:val="3"/>
      <w:numFmt w:val="lowerLetter"/>
      <w:lvlText w:val="%8."/>
      <w:lvlJc w:val="left"/>
      <w:pPr>
        <w:ind w:left="5760" w:hanging="480"/>
      </w:pPr>
    </w:lvl>
    <w:lvl w:ilvl="8">
      <w:start w:val="3"/>
      <w:numFmt w:val="lowerLetter"/>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2026-07-29T06:59:09Z</dcterms:created>
  <dcterms:modified xsi:type="dcterms:W3CDTF">2026-07-29T06:59:09Z</dcterms:modified>
</cp:coreProperties>
</file>

<file path=docProps/custom.xml><?xml version="1.0" encoding="utf-8"?>
<Properties xmlns="http://schemas.openxmlformats.org/officeDocument/2006/custom-properties" xmlns:vt="http://schemas.openxmlformats.org/officeDocument/2006/docPropsVTypes"/>
</file>