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Japan</w:t>
      </w:r>
      <w:r>
        <w:t xml:space="preserve"> </w:t>
      </w:r>
      <w:r>
        <w:t xml:space="preserve">Tokyo</w:t>
      </w:r>
    </w:p>
    <w:bookmarkStart w:id="34" w:name="Xd57bcad6e10c159f3bcf66b1d58b5dff72e680e"/>
    <w:p>
      <w:pPr>
        <w:pStyle w:val="Heading1"/>
      </w:pPr>
      <w:r>
        <w:t xml:space="preserve">Project Report Strategic Deployment of an Academic Researcher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Expansion Committee</w:t>
      </w:r>
      <w:r>
        <w:br/>
      </w:r>
      <w:r>
        <w:t xml:space="preserve">:Strategic Planning Unit</w:t>
      </w:r>
      <w:r>
        <w:br/>
      </w:r>
      <w:r>
        <w:t xml:space="preserve">:Establishing a Permanent Academic Researcher Position in Japan Tokyo</w:t>
      </w:r>
    </w:p>
    <w:p>
      <w:pPr>
        <w:pStyle w:val="BodyText"/>
      </w:pPr>
      <w:r>
        <w:rPr>
          <w:iCs/>
          <w:i/>
        </w:rPr>
        <w:t xml:space="preserve">This project report outlines the strategic necessity, logistical framework, and operational expectations for hiring and deploying a dedicated Academic Researcher to the dynamic innovation hub of Japan Tokyo. This initiative aims to bridge international academic gaps while fostering local industry-academia collaboration.</w:t>
      </w:r>
    </w:p>
    <w:bookmarkStart w:id="20" w:name="executive-summary"/>
    <w:p>
      <w:pPr>
        <w:pStyle w:val="Heading2"/>
      </w:pPr>
      <w:r>
        <w:t xml:space="preserve">1. Executive Summary</w:t>
      </w:r>
    </w:p>
    <w:p>
      <w:pPr>
        <w:pStyle w:val="FirstParagraph"/>
      </w:pPr>
      <w:r>
        <w:t xml:space="preserve">The global landscape of scientific inquiry is increasingly collaborative and borderless. In this context, the decision to establish a physical presence for an Academic Researcher in Japan Tokyo represents a pivotal step in our organization’s international strategy. Japan Tokyo is not merely a geographic location; it is one of the world’s leading hubs for technology, robotics, biotechnology, and sustainable energy research. By positioning an Academic Researcher within this ecosystem, we aim to secure early access to cutting-edge developments, foster partnerships with elite institutions such as the University of Tokyo and Waseda University, and integrate into the vibrant intellectual community that defines Japan Tokyo.</w:t>
      </w:r>
    </w:p>
    <w:bookmarkEnd w:id="20"/>
    <w:bookmarkStart w:id="23" w:name="strategic-rationale-for-japan-tokyo"/>
    <w:p>
      <w:pPr>
        <w:pStyle w:val="Heading2"/>
      </w:pPr>
      <w:r>
        <w:t xml:space="preserve">2. Strategic Rationale for Japan Tokyo</w:t>
      </w:r>
    </w:p>
    <w:p>
      <w:pPr>
        <w:pStyle w:val="FirstParagraph"/>
      </w:pPr>
      <w:r>
        <w:t xml:space="preserve">The choice of Japan Tokyo is driven by three primary factors: technological leadership, cultural synergy, and market accessibility.</w:t>
      </w:r>
    </w:p>
    <w:bookmarkStart w:id="21" w:name="technological-leadership"/>
    <w:p>
      <w:pPr>
        <w:pStyle w:val="Heading3"/>
      </w:pPr>
      <w:r>
        <w:t xml:space="preserve">2.1 Technological Leadership</w:t>
      </w:r>
    </w:p>
    <w:p>
      <w:pPr>
        <w:pStyle w:val="FirstParagraph"/>
      </w:pPr>
      <w:r>
        <w:t xml:space="preserve">Japanknows itself as a pioneer in advanced manufacturing and digital infrastructure. The dense concentration of research institutes in the Kanto region, centered around Japan Tokyo, offers unparalleled opportunities for an Academic Researcher to engage with multidisciplinary teams. From quantum computing to green hydrogen technologies, the breadth of research output in this region is second to none globally.</w:t>
      </w:r>
    </w:p>
    <w:bookmarkEnd w:id="21"/>
    <w:bookmarkStart w:id="22" w:name="the-innovation-ecosystem"/>
    <w:p>
      <w:pPr>
        <w:pStyle w:val="Heading3"/>
      </w:pPr>
      <w:r>
        <w:t xml:space="preserve">2.2 The Innovation Ecosystem</w:t>
      </w:r>
    </w:p>
    <w:p>
      <w:pPr>
        <w:pStyle w:val="FirstParagraph"/>
      </w:pPr>
      <w:r>
        <w:t xml:space="preserve">Tokyo serves as the nerve center for innovation in East Asia. The proximity to government bodies responsible for science and technology policy allows an Academic Researcher to influence regulatory frameworks and secure grant funding more effectively than from a remote location. Furthermore, the synergy between private sector R&amp;D labs and public academic institutions in Japan Tokyo creates a unique environment where theoretical research can rapidly transition into practical application.</w:t>
      </w:r>
    </w:p>
    <w:bookmarkEnd w:id="22"/>
    <w:bookmarkEnd w:id="23"/>
    <w:bookmarkStart w:id="25" w:name="role-definition-the-academic-researcher"/>
    <w:p>
      <w:pPr>
        <w:pStyle w:val="Heading2"/>
      </w:pPr>
      <w:r>
        <w:t xml:space="preserve">3. Role Definition: The Academic Researcher</w:t>
      </w:r>
    </w:p>
    <w:p>
      <w:pPr>
        <w:pStyle w:val="FirstParagraph"/>
      </w:pPr>
      <w:r>
        <w:t xml:space="preserve">The core responsibility of this role is to serve as the primary intellectual bridge between our organization and the Japanese scientific community. The Academic Researcher will not only conduct independent studies but also act as a liaison, ensuring that international collaborations are culturally nuanced and scientifically rigorous.</w:t>
      </w:r>
    </w:p>
    <w:bookmarkStart w:id="24" w:name="key-responsibilities"/>
    <w:p>
      <w:pPr>
        <w:pStyle w:val="Heading3"/>
      </w:pPr>
      <w:r>
        <w:t xml:space="preserve">3.1 Key Responsibilities</w:t>
      </w:r>
    </w:p>
    <w:p>
      <w:pPr>
        <w:numPr>
          <w:ilvl w:val="0"/>
          <w:numId w:val="1001"/>
        </w:numPr>
        <w:pStyle w:val="Compact"/>
      </w:pPr>
      <w:r>
        <w:rPr>
          <w:bCs/>
          <w:b/>
        </w:rPr>
        <w:t xml:space="preserve">Publishing and Dissemination:</w:t>
      </w:r>
      <w:r>
        <w:t xml:space="preserve">The Academic Researcher is expected to publish high-impact papers in peer-reviewed journals, focusing on topics relevant to both global trends and local priorities in Japan Tokyo.</w:t>
      </w:r>
    </w:p>
    <w:p>
      <w:pPr>
        <w:numPr>
          <w:ilvl w:val="0"/>
          <w:numId w:val="1001"/>
        </w:numPr>
        <w:pStyle w:val="Compact"/>
      </w:pPr>
      <w:r>
        <w:rPr>
          <w:bCs/>
          <w:b/>
        </w:rPr>
        <w:t xml:space="preserve">Collaboration Management:</w:t>
      </w:r>
      <w:r>
        <w:t xml:space="preserve">Building and maintaining relationships with faculty members at major universities across Japan Tokyo. This includes organizing joint seminars, workshops, and symposiums.</w:t>
      </w:r>
    </w:p>
    <w:p>
      <w:pPr>
        <w:numPr>
          <w:ilvl w:val="0"/>
          <w:numId w:val="1001"/>
        </w:numPr>
        <w:pStyle w:val="Compact"/>
      </w:pPr>
      <w:r>
        <w:rPr>
          <w:bCs/>
          <w:b/>
        </w:rPr>
        <w:t xml:space="preserve">Funding Acquisition:</w:t>
      </w:r>
      <w:r>
        <w:t xml:space="preserve">Leveraging local networks to apply for grants from Japanese organizations such as the Japan Society for the Promotion of Science (JSPS).</w:t>
      </w:r>
    </w:p>
    <w:p>
      <w:pPr>
        <w:numPr>
          <w:ilvl w:val="0"/>
          <w:numId w:val="1001"/>
        </w:numPr>
        <w:pStyle w:val="Compact"/>
      </w:pPr>
      <w:r>
        <w:rPr>
          <w:bCs/>
          <w:b/>
        </w:rPr>
        <w:t xml:space="preserve">Cultural Mediation:</w:t>
      </w:r>
      <w:r>
        <w:t xml:space="preserve">Navigating the complex social hierarchy and business etiquette inherent in Japanese academic environments. The Academic Researcher must understand the concept of</w:t>
      </w:r>
      <w:r>
        <w:t xml:space="preserve"> </w:t>
      </w:r>
      <w:r>
        <w:rPr>
          <w:iCs/>
          <w:i/>
        </w:rPr>
        <w:t xml:space="preserve">wa</w:t>
      </w:r>
      <w:r>
        <w:t xml:space="preserve"> </w:t>
      </w:r>
      <w:r>
        <w:t xml:space="preserve">(harmony) to facilitate smooth cooperation.</w:t>
      </w:r>
    </w:p>
    <w:bookmarkEnd w:id="24"/>
    <w:bookmarkEnd w:id="25"/>
    <w:bookmarkStart w:id="29" w:name="operational-framework-and-logistics"/>
    <w:p>
      <w:pPr>
        <w:pStyle w:val="Heading2"/>
      </w:pPr>
      <w:r>
        <w:t xml:space="preserve">4. Operational Framework and Logistics</w:t>
      </w:r>
    </w:p>
    <w:p>
      <w:pPr>
        <w:pStyle w:val="FirstParagraph"/>
      </w:pPr>
      <w:r>
        <w:t xml:space="preserve">To ensure the success of this initiative, specific logistical arrangements must be made to support the Academic Researcher in Japan Tokyo.</w:t>
      </w:r>
    </w:p>
    <w:bookmarkStart w:id="26" w:name="physical-infrastructure"/>
    <w:p>
      <w:pPr>
        <w:pStyle w:val="Heading3"/>
      </w:pPr>
      <w:r>
        <w:t xml:space="preserve">4.1 Physical Infrastructure</w:t>
      </w:r>
    </w:p>
    <w:p>
      <w:pPr>
        <w:pStyle w:val="FirstParagraph"/>
      </w:pPr>
      <w:r>
        <w:t xml:space="preserve">We will lease office space in a central district of Japan Tokyo, preferably within walking distance or short commute time from key university campuses such as Bunkyo Ward (home to the University of Tokyo). The workspace must be equipped with high-speed internet and facilities for virtual collaboration, acknowledging that hybrid work models are becoming standard.</w:t>
      </w:r>
    </w:p>
    <w:bookmarkEnd w:id="26"/>
    <w:bookmarkStart w:id="27" w:name="visa-and-legal-compliance"/>
    <w:p>
      <w:pPr>
        <w:pStyle w:val="Heading3"/>
      </w:pPr>
      <w:r>
        <w:t xml:space="preserve">4.2 Visa and Legal Compliance</w:t>
      </w:r>
    </w:p>
    <w:p>
      <w:pPr>
        <w:pStyle w:val="FirstParagraph"/>
      </w:pPr>
      <w:r>
        <w:t xml:space="preserve">The Academic Researcher will require a "Professor" or "Researcher" visa category issued by the Immigration Services Agency of Japan. This process requires detailed documentation regarding the research plan, institutional affiliation, and funding sources. Early engagement with legal experts specializing in Japanese immigration law is critical to avoid delays.</w:t>
      </w:r>
    </w:p>
    <w:bookmarkEnd w:id="27"/>
    <w:bookmarkStart w:id="28" w:name="language-proficiency"/>
    <w:p>
      <w:pPr>
        <w:pStyle w:val="Heading3"/>
      </w:pPr>
      <w:r>
        <w:t xml:space="preserve">4.3 Language Proficiency</w:t>
      </w:r>
    </w:p>
    <w:p>
      <w:pPr>
        <w:pStyle w:val="FirstParagraph"/>
      </w:pPr>
      <w:r>
        <w:t xml:space="preserve">While English is widely used in high-level academic circles, an Academic Researcher operating in Japan Tokyo must possess at least advanced conversational Japanese skills (JLPT N2 level or higher). This is essential for building trust with local colleagues, understanding nuanced contract terms, and navigating daily life. Proficiency in English remains crucial for disseminating findings to the global community.</w:t>
      </w:r>
    </w:p>
    <w:bookmarkEnd w:id="28"/>
    <w:bookmarkEnd w:id="29"/>
    <w:bookmarkStart w:id="30" w:name="cultural-integration-and-soft-skills"/>
    <w:p>
      <w:pPr>
        <w:pStyle w:val="Heading2"/>
      </w:pPr>
      <w:r>
        <w:t xml:space="preserve">5. Cultural Integration and Soft Skills</w:t>
      </w:r>
    </w:p>
    <w:p>
      <w:pPr>
        <w:pStyle w:val="FirstParagraph"/>
      </w:pPr>
      <w:r>
        <w:t xml:space="preserve">The success of an Academic Researcher in Japan Tokyo is heavily dependent on soft skills and cultural intelligence. The Japanese academic environment values persistence, attention to detail, and respect for hierarchy. The selected candidate must demonstrate the ability to build long-term relationships (</w:t>
      </w:r>
      <w:r>
        <w:rPr>
          <w:iCs/>
          <w:i/>
        </w:rPr>
        <w:t xml:space="preserve">Kankei</w:t>
      </w:r>
      <w:r>
        <w:t xml:space="preserve">) rather than seeking quick transactional outcomes.</w:t>
      </w:r>
    </w:p>
    <w:p>
      <w:pPr>
        <w:pStyle w:val="BodyText"/>
      </w:pPr>
      <w:r>
        <w:t xml:space="preserve">Understanding the concept of</w:t>
      </w:r>
      <w:r>
        <w:t xml:space="preserve"> </w:t>
      </w:r>
      <w:r>
        <w:rPr>
          <w:iCs/>
          <w:i/>
        </w:rPr>
        <w:t xml:space="preserve">Honne</w:t>
      </w:r>
      <w:r>
        <w:t xml:space="preserve"> </w:t>
      </w:r>
      <w:r>
        <w:t xml:space="preserve">(true sound/intention) versus</w:t>
      </w:r>
      <w:r>
        <w:t xml:space="preserve"> </w:t>
      </w:r>
      <w:r>
        <w:rPr>
          <w:rStyle w:val="VerbatimChar"/>
        </w:rPr>
        <w:t xml:space="preserve">Tatemae</w:t>
      </w:r>
      <w:r>
        <w:t xml:space="preserve">(public facade) is vital for effective communication. Misinterpretations in these subtle social cues can hinder research collaboration. Therefore, ongoing cultural training and mentorship will be provided as part of the onboarding process.</w:t>
      </w:r>
    </w:p>
    <w:bookmarkEnd w:id="30"/>
    <w:bookmarkStart w:id="31" w:name="expected-outcomes-and-kpis"/>
    <w:p>
      <w:pPr>
        <w:pStyle w:val="Heading2"/>
      </w:pPr>
      <w:r>
        <w:t xml:space="preserve">6. Expected Outcomes and KPIs</w:t>
      </w:r>
    </w:p>
    <w:p>
      <w:pPr>
        <w:pStyle w:val="FirstParagraph"/>
      </w:pPr>
      <w:r>
        <w:t xml:space="preserve">We have defined several Key Performance Indicators (KPIs) to measure the impact of this project over the first three years:</w:t>
      </w:r>
    </w:p>
    <w:p>
      <w:pPr>
        <w:numPr>
          <w:ilvl w:val="0"/>
          <w:numId w:val="1002"/>
        </w:numPr>
        <w:pStyle w:val="Compact"/>
      </w:pPr>
      <w:r>
        <w:rPr>
          <w:bCs/>
          <w:b/>
        </w:rPr>
        <w:t xml:space="preserve">Publishing Record:</w:t>
      </w:r>
      <w:r>
        <w:t xml:space="preserve">A minimum of four joint publications per year with Japanese co-authors.</w:t>
      </w:r>
    </w:p>
    <w:p>
      <w:pPr>
        <w:numPr>
          <w:ilvl w:val="0"/>
          <w:numId w:val="1002"/>
        </w:numPr>
        <w:pStyle w:val="Compact"/>
      </w:pPr>
      <w:r>
        <w:rPr>
          <w:bCs/>
          <w:b/>
        </w:rPr>
        <w:t xml:space="preserve">Network Expansion:</w:t>
      </w:r>
      <w:r>
        <w:t xml:space="preserve">Maintenance of active partnerships with at least five major research institutions in Japan Tokyo.</w:t>
      </w:r>
    </w:p>
    <w:p>
      <w:pPr>
        <w:numPr>
          <w:ilvl w:val="0"/>
          <w:numId w:val="1002"/>
        </w:numPr>
        <w:pStyle w:val="Compact"/>
      </w:pPr>
      <w:r>
        <w:t xml:space="preserve">Funding Success::Securing at least two competitive research grants from Japanese entities within the first 24 months.</w:t>
      </w:r>
    </w:p>
    <w:p>
      <w:pPr>
        <w:numPr>
          <w:ilvl w:val="0"/>
          <w:numId w:val="1002"/>
        </w:numPr>
        <w:pStyle w:val="Compact"/>
      </w:pPr>
      <w:r>
        <w:t xml:space="preserve">Knowledge Transfer::Organizing bi-annual workshops that facilitate the exchange of ideas between international and local researchers.</w:t>
      </w:r>
    </w:p>
    <w:bookmarkEnd w:id="31"/>
    <w:bookmarkStart w:id="32" w:name="budget-overview"/>
    <w:p>
      <w:pPr>
        <w:pStyle w:val="Heading2"/>
      </w:pPr>
      <w:r>
        <w:t xml:space="preserve">7. Budget Overview</w:t>
      </w:r>
    </w:p>
    <w:p>
      <w:pPr>
        <w:pStyle w:val="FirstParagraph"/>
      </w:pPr>
      <w:r>
        <w:t xml:space="preserve">The budget for this project includes salary compensation, housing allowances in Japan Tokyo (which is significantly higher than the national average), health insurance premiums, travel expenses for domestic conferences within Japan, and office lease costs. A detailed financial breakdown is attached in Appendix A of the full proposal.</w:t>
      </w:r>
    </w:p>
    <w:bookmarkEnd w:id="32"/>
    <w:bookmarkStart w:id="33" w:name="conclusion"/>
    <w:p>
      <w:pPr>
        <w:pStyle w:val="Heading2"/>
      </w:pPr>
      <w:r>
        <w:t xml:space="preserve">8. Conclusion</w:t>
      </w:r>
    </w:p>
    <w:p>
      <w:pPr>
        <w:pStyle w:val="FirstParagraph"/>
      </w:pPr>
      <w:r>
        <w:t xml:space="preserve">The deployment of an Academic Researcher to Japan Tokyo is a strategic investment in our organization’s future relevance and innovation capacity. By embedding ourselves in one of the world’s most dynamic research environments, we not only enhance our scientific output but also demonstrate a commitment to global cooperation and cultural exchange. This role will serve as the cornerstone for broader international partnerships, ensuring that our organization remains at the forefront of academic discovery.</w:t>
      </w:r>
    </w:p>
    <w:p>
      <w:pPr>
        <w:pStyle w:val="BodyText"/>
      </w:pPr>
      <w:r>
        <w:t xml:space="preserve">We recommend immediate approval of this project report to initiate the recruitment process in Japan Tokyo, allowing sufficient time for visa processing and relocation prior to the start of the upcoming fiscal research cycle.</w:t>
      </w:r>
    </w:p>
    <w:p>
      <w:pPr>
        <w:pStyle w:val="BodyText"/>
      </w:pPr>
      <w:r>
        <w:t xml:space="preserve">© 2023 Strategic Planning Unit. All Rights Reserved. This document contains proprietary information regarding operations in Japan Tokyo.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Deployment in Japan Tokyo</dc:title>
  <dc:creator/>
  <dc:language>en</dc:language>
  <cp:keywords/>
  <dcterms:created xsi:type="dcterms:W3CDTF">2026-07-29T19:38:06Z</dcterms:created>
  <dcterms:modified xsi:type="dcterms:W3CDTF">2026-07-29T19:38:06Z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