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Russia</w:t>
      </w:r>
      <w:r>
        <w:t xml:space="preserve"> </w:t>
      </w:r>
      <w:r>
        <w:t xml:space="preserve">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International Academic Collaboration</w:t>
      </w:r>
      <w:r>
        <w:br/>
      </w:r>
    </w:p>
    <w:p>
      <w:pPr>
        <w:pStyle w:val="BodyText"/>
      </w:pPr>
      <w:r>
        <w:t xml:space="preserve">Subject :&lt; p &gt;Comprehensive Project Report for the Position of Academic Researcher in Russia Moscow</w:t>
      </w:r>
    </w:p>
    <w:bookmarkStart w:id="31" w:name="Xba7bbd31e9e2bb85241c55b0f495ae6e60b54be"/>
    <w:p>
      <w:pPr>
        <w:pStyle w:val="Heading1"/>
      </w:pPr>
      <w:r>
        <w:t xml:space="preserve">Project Report: Strategic Implementation of the Academic Researcher Role in Russia Moscow</w:t>
      </w:r>
    </w:p>
    <w:bookmarkStart w:id="20" w:name="executive-summary"/>
    <w:p>
      <w:pPr>
        <w:pStyle w:val="Heading2"/>
      </w:pPr>
      <w:r>
        <w:t xml:space="preserve">1. Executive Summary</w:t>
      </w:r>
    </w:p>
    <w:p>
      <w:pPr>
        <w:pStyle w:val="FirstParagraph"/>
      </w:pPr>
      <w:r>
        <w:t xml:space="preserve">This project report outlines the comprehensive strategy, operational framework, and academic objectives associated with the deployment of an</w:t>
      </w:r>
      <w:r>
        <w:t xml:space="preserve"> </w:t>
      </w:r>
      <w:r>
        <w:rPr>
          <w:bCs/>
          <w:b/>
        </w:rPr>
        <w:t xml:space="preserve">Academic Researcher</w:t>
      </w:r>
      <w:r>
        <w:t xml:space="preserve"> </w:t>
      </w:r>
      <w:r>
        <w:t xml:space="preserve">within the vibrant intellectual ecosystem of</w:t>
      </w:r>
      <w:r>
        <w:t xml:space="preserve"> </w:t>
      </w:r>
      <w:r>
        <w:rPr>
          <w:bCs/>
          <w:b/>
        </w:rPr>
        <w:t xml:space="preserve">Russia Moscow</w:t>
      </w:r>
      <w:r>
        <w:t xml:space="preserve">. As a global hub for higher education and scientific inquiry, Moscow offers unique opportunities for interdisciplinary collaboration. This document details how an individual appointed as an Academic Researcher can effectively navigate the local academic landscape, contribute to institutional goals, and foster international partnerships while adhering to the specific regulatory and cultural contexts of Russia.</w:t>
      </w:r>
    </w:p>
    <w:bookmarkEnd w:id="20"/>
    <w:bookmarkStart w:id="21" w:name="introduction-and-context"/>
    <w:p>
      <w:pPr>
        <w:pStyle w:val="Heading2"/>
      </w:pPr>
      <w:r>
        <w:t xml:space="preserve">2. Introduction and Context</w:t>
      </w:r>
    </w:p>
    <w:p>
      <w:pPr>
        <w:pStyle w:val="FirstParagraph"/>
      </w:pPr>
      <w:r>
        <w:t xml:space="preserve">The role of an</w:t>
      </w:r>
      <w:r>
        <w:t xml:space="preserve"> </w:t>
      </w:r>
      <w:r>
        <w:rPr>
          <w:bCs/>
          <w:b/>
        </w:rPr>
        <w:t xml:space="preserve">Academic Researcher</w:t>
      </w:r>
      <w:r>
        <w:t xml:space="preserve"> </w:t>
      </w:r>
      <w:r>
        <w:t xml:space="preserve">extends beyond mere data collection; it encompasses teaching, mentorship, grant acquisition, and the dissemination of knowledge. In the context of</w:t>
      </w:r>
      <w:r>
        <w:t xml:space="preserve"> </w:t>
      </w:r>
      <w:r>
        <w:rPr>
          <w:bCs/>
          <w:b/>
        </w:rPr>
        <w:t xml:space="preserve">Russia Moscow</w:t>
      </w:r>
      <w:r>
        <w:t xml:space="preserve">, this role is particularly significant due to the city's status as a major center for science and technology in Eurasia. Universities such as Lomonosov Moscow State University (MSU), HSE University, and Skolkovo Institute of Science and Technology are at the forefront of innovation.</w:t>
      </w:r>
    </w:p>
    <w:p>
      <w:pPr>
        <w:pStyle w:val="BodyText"/>
      </w:pPr>
      <w:r>
        <w:t xml:space="preserve">This report aims to define the scope of work, expected deliverables, and integration strategies for an</w:t>
      </w:r>
      <w:r>
        <w:t xml:space="preserve"> </w:t>
      </w:r>
      <w:r>
        <w:rPr>
          <w:bCs/>
          <w:b/>
        </w:rPr>
        <w:t xml:space="preserve">Academic Researcher</w:t>
      </w:r>
      <w:r>
        <w:t xml:space="preserve"> </w:t>
      </w:r>
      <w:r>
        <w:t xml:space="preserve">based in</w:t>
      </w:r>
      <w:r>
        <w:t xml:space="preserve"> </w:t>
      </w:r>
      <w:r>
        <w:rPr>
          <w:bCs/>
          <w:b/>
        </w:rPr>
        <w:t xml:space="preserve">Russia Moscow</w:t>
      </w:r>
      <w:r>
        <w:t xml:space="preserve">. It emphasizes the importance of aligning local research priorities with international academic standards to ensure mutual benefit and scholarly excellence.</w:t>
      </w:r>
    </w:p>
    <w:bookmarkEnd w:id="21"/>
    <w:bookmarkStart w:id="22" w:name="Xa26d017a25d1fb0484d2e4143fad68f4e25ce15"/>
    <w:p>
      <w:pPr>
        <w:pStyle w:val="Heading2"/>
      </w:pPr>
      <w:r>
        <w:t xml:space="preserve">3. Objectives of the Academic Researcher Role</w:t>
      </w:r>
    </w:p>
    <w:p>
      <w:pPr>
        <w:pStyle w:val="FirstParagraph"/>
      </w:pPr>
      <w:r>
        <w:t xml:space="preserve">The primary objectives for an</w:t>
      </w:r>
      <w:r>
        <w:t xml:space="preserve"> </w:t>
      </w:r>
      <w:r>
        <w:rPr>
          <w:bCs/>
          <w:b/>
        </w:rPr>
        <w:t xml:space="preserve">Academic Researcher</w:t>
      </w:r>
      <w:r>
        <w:t xml:space="preserve"> </w:t>
      </w:r>
      <w:r>
        <w:t xml:space="preserve">stationed in</w:t>
      </w:r>
      <w:r>
        <w:t xml:space="preserve"> </w:t>
      </w:r>
      <w:r>
        <w:rPr>
          <w:bCs/>
          <w:b/>
        </w:rPr>
        <w:t xml:space="preserve">Russia Moscow</w:t>
      </w:r>
      <w:r>
        <w:t xml:space="preserve"> </w:t>
      </w:r>
      <w:r>
        <w:t xml:space="preserve">are multifaceted:</w:t>
      </w:r>
    </w:p>
    <w:p>
      <w:pPr>
        <w:numPr>
          <w:ilvl w:val="0"/>
          <w:numId w:val="1001"/>
        </w:numPr>
        <w:pStyle w:val="Compact"/>
      </w:pPr>
      <w:r>
        <w:t xml:space="preserve">Publishing Output :Achieving high-impact publications in internationally recognized journals, focusing on topics relevant to both global scholarship and local Russian priorities.</w:t>
      </w:r>
    </w:p>
    <w:p>
      <w:pPr>
        <w:numPr>
          <w:ilvl w:val="0"/>
          <w:numId w:val="1001"/>
        </w:numPr>
        <w:pStyle w:val="Compact"/>
      </w:pPr>
      <w:r>
        <w:t xml:space="preserve">&lt; strong&gt;Collaborative Networking :/Strong&gt; Establishing partnerships with key institutions in Moscow and broader Russia, including government bodies and private industry partners.</w:t>
      </w:r>
    </w:p>
    <w:p>
      <w:pPr>
        <w:numPr>
          <w:ilvl w:val="0"/>
          <w:numId w:val="1001"/>
        </w:numPr>
        <w:pStyle w:val="Compact"/>
      </w:pPr>
      <w:r>
        <w:rPr>
          <w:bCs/>
          <w:b/>
        </w:rPr>
        <w:t xml:space="preserve">Grant Acquisition:</w:t>
      </w:r>
      <w:r>
        <w:t xml:space="preserve"> </w:t>
      </w:r>
      <w:r>
        <w:t xml:space="preserve">Securing funding from both international sources (such as the EU Horizon programs where applicable) and Russian foundations (such as the Russian Science Foundation).</w:t>
      </w:r>
    </w:p>
    <w:p>
      <w:pPr>
        <w:numPr>
          <w:ilvl w:val="0"/>
          <w:numId w:val="1001"/>
        </w:numPr>
        <w:pStyle w:val="Compact"/>
      </w:pPr>
      <w:r>
        <w:t xml:space="preserve">&lt; strong&gt;Cultural Integration :/Strong&gt;Fostering an inclusive research environment that respects the cultural nuances of academic life in Moscow.</w:t>
      </w:r>
    </w:p>
    <w:bookmarkEnd w:id="22"/>
    <w:bookmarkStart w:id="26" w:name="operational-framework-in-russia-moscow"/>
    <w:p>
      <w:pPr>
        <w:pStyle w:val="Heading2"/>
      </w:pPr>
      <w:r>
        <w:t xml:space="preserve">4. Operational Framework in Russia Moscow</w:t>
      </w:r>
    </w:p>
    <w:p>
      <w:pPr>
        <w:pStyle w:val="FirstParagraph"/>
      </w:pPr>
      <w:r>
        <w:t xml:space="preserve">Operating as an</w:t>
      </w:r>
      <w:r>
        <w:t xml:space="preserve"> </w:t>
      </w:r>
      <w:r>
        <w:rPr>
          <w:bCs/>
          <w:b/>
        </w:rPr>
        <w:t xml:space="preserve">Academic Researcher</w:t>
      </w:r>
      <w:r>
        <w:t xml:space="preserve"> </w:t>
      </w:r>
      <w:r>
        <w:t xml:space="preserve">in</w:t>
      </w:r>
      <w:r>
        <w:t xml:space="preserve"> </w:t>
      </w:r>
      <w:r>
        <w:rPr>
          <w:bCs/>
          <w:b/>
        </w:rPr>
        <w:t xml:space="preserve">Russia Moscow</w:t>
      </w:r>
      <w:r>
        <w:t xml:space="preserve"> </w:t>
      </w:r>
      <w:r>
        <w:t xml:space="preserve">requires a nuanced understanding of the local administrative and academic structures. The operational framework is divided into three key phases:</w:t>
      </w:r>
    </w:p>
    <w:bookmarkStart w:id="23" w:name="administrative-compliance-and-visas"/>
    <w:p>
      <w:pPr>
        <w:pStyle w:val="Heading3"/>
      </w:pPr>
      <w:r>
        <w:t xml:space="preserve">4.1 Administrative Compliance and Visas</w:t>
      </w:r>
    </w:p>
    <w:p>
      <w:pPr>
        <w:pStyle w:val="FirstParagraph"/>
      </w:pPr>
      <w:r>
        <w:t xml:space="preserve">The first step involves securing the necessary documentation to work legally as an</w:t>
      </w:r>
      <w:r>
        <w:t xml:space="preserve"> </w:t>
      </w:r>
      <w:r>
        <w:rPr>
          <w:bCs/>
          <w:b/>
        </w:rPr>
        <w:t xml:space="preserve">Academic Researcher</w:t>
      </w:r>
      <w:r>
        <w:t xml:space="preserve">. This includes obtaining a valid work visa or student visa, depending on the nature of the appointment. Researchers must navigate immigration laws specific to</w:t>
      </w:r>
      <w:r>
        <w:t xml:space="preserve"> </w:t>
      </w:r>
      <w:r>
        <w:rPr>
          <w:bCs/>
          <w:b/>
        </w:rPr>
        <w:t xml:space="preserve">Russia Moscow</w:t>
      </w:r>
      <w:r>
        <w:t xml:space="preserve">, which may require registration upon arrival and periodic renewals. Ensuring compliance with these regulations is critical to maintaining uninterrupted research activities.</w:t>
      </w:r>
    </w:p>
    <w:bookmarkEnd w:id="23"/>
    <w:bookmarkStart w:id="24" w:name="institutional-integration"/>
    <w:p>
      <w:pPr>
        <w:pStyle w:val="Heading3"/>
      </w:pPr>
      <w:r>
        <w:t xml:space="preserve">4.2 Institutional Integration</w:t>
      </w:r>
    </w:p>
    <w:p>
      <w:pPr>
        <w:pStyle w:val="FirstParagraph"/>
      </w:pPr>
      <w:r>
        <w:t xml:space="preserve">Upon arrival in Moscow, the Academic Researcher must integrate into their host institution’s departmental structure. This involves attending faculty meetings, participating in seminar series, and aligning personal research agendas with the strategic goals of the university. In</w:t>
      </w:r>
      <w:r>
        <w:t xml:space="preserve"> </w:t>
      </w:r>
      <w:r>
        <w:rPr>
          <w:bCs/>
          <w:b/>
        </w:rPr>
        <w:t xml:space="preserve">Russia Moscow</w:t>
      </w:r>
      <w:r>
        <w:t xml:space="preserve">, academic hierarchies can be formal; therefore, building relationships with senior professors and department heads is essential for career advancement and resource allocation.</w:t>
      </w:r>
    </w:p>
    <w:bookmarkEnd w:id="24"/>
    <w:bookmarkStart w:id="25" w:name="research-methodology"/>
    <w:p>
      <w:pPr>
        <w:pStyle w:val="Heading3"/>
      </w:pPr>
      <w:r>
        <w:t xml:space="preserve">4.3 Research Methodology</w:t>
      </w:r>
    </w:p>
    <w:p>
      <w:pPr>
        <w:pStyle w:val="FirstParagraph"/>
      </w:pPr>
      <w:r>
        <w:t xml:space="preserve">The methodology employed by an</w:t>
      </w:r>
      <w:r>
        <w:t xml:space="preserve"> </w:t>
      </w:r>
      <w:r>
        <w:rPr>
          <w:bCs/>
          <w:b/>
        </w:rPr>
        <w:t xml:space="preserve">Academic Researcher</w:t>
      </w:r>
      <w:r>
        <w:t xml:space="preserve"> </w:t>
      </w:r>
      <w:r>
        <w:t xml:space="preserve">in</w:t>
      </w:r>
    </w:p>
    <w:p>
      <w:pPr>
        <w:pStyle w:val="BodyText"/>
      </w:pPr>
      <w:r>
        <w:t xml:space="preserve">Russia Moscow should leverage local datasets, archives, and fieldwork opportunities. For instance, researchers in social sciences may benefit from unique access to post-Soviet societal data. Meanwhile, scientists and engineers can utilize advanced laboratories available at research centers like Skoltech or MIPT.</w:t>
      </w:r>
    </w:p>
    <w:bookmarkEnd w:id="25"/>
    <w:bookmarkEnd w:id="26"/>
    <w:bookmarkStart w:id="27" w:name="challenges-and-mitigation-strategies"/>
    <w:p>
      <w:pPr>
        <w:pStyle w:val="Heading2"/>
      </w:pPr>
      <w:r>
        <w:t xml:space="preserve">5. Challenges and Mitigation Strategies</w:t>
      </w:r>
    </w:p>
    <w:p>
      <w:pPr>
        <w:pStyle w:val="FirstParagraph"/>
      </w:pPr>
      <w:r>
        <w:t xml:space="preserve">Serving as an</w:t>
      </w:r>
      <w:r>
        <w:t xml:space="preserve"> </w:t>
      </w:r>
      <w:r>
        <w:rPr>
          <w:bCs/>
          <w:b/>
        </w:rPr>
        <w:t xml:space="preserve">Academic Researcher</w:t>
      </w:r>
      <w:r>
        <w:t xml:space="preserve"> </w:t>
      </w:r>
      <w:r>
        <w:t xml:space="preserve">in &lt; strong&gt;Russia Moscow presents specific challenges that must be proactively managed:</w:t>
      </w:r>
    </w:p>
    <w:p>
      <w:pPr>
        <w:pStyle w:val="BodyText"/>
      </w:pPr>
      <w:r>
        <w:t xml:space="preserve">&lt; tr&gt;</w:t>
      </w:r>
    </w:p>
    <w:p>
      <w:pPr>
        <w:pStyle w:val="BodyText"/>
      </w:pPr>
      <w:r>
        <w:t xml:space="preserve">Challenge&lt; Th&gt;Description / Strong &gt;&lt; Th&gt;Mitigation Strategy</w:t>
      </w:r>
    </w:p>
    <w:p>
      <w:pPr>
        <w:pStyle w:val="BodyText"/>
      </w:pPr>
      <w:r>
        <w:t xml:space="preserve">Language Barrier&lt; td&gt;Limited proficiency in Russian may hinder daily communication and access to local archives.&lt; td&gt;Invest in intensive language courses; hire bilingual research assistants for administrative tasks.</w:t>
      </w:r>
    </w:p>
    <w:p>
      <w:pPr>
        <w:pStyle w:val="BodyText"/>
      </w:pPr>
      <w:r>
        <w:t xml:space="preserve">Bureaucratic Processes&amp; lt;td&gt;The administrative procedures in</w:t>
      </w:r>
      <w:r>
        <w:t xml:space="preserve"> </w:t>
      </w:r>
      <w:r>
        <w:rPr>
          <w:bCs/>
          <w:b/>
        </w:rPr>
        <w:t xml:space="preserve">Russia Moscow</w:t>
      </w:r>
      <w:r>
        <w:t xml:space="preserve"> </w:t>
      </w:r>
      <w:r>
        <w:t xml:space="preserve">can be complex and time-consuming.&amp; lt;/ td &gt;&lt; td&gt;Establish a local liaison office; maintain regular contact with international relations departments.</w:t>
      </w:r>
    </w:p>
    <w:p>
      <w:pPr>
        <w:pStyle w:val="BodyText"/>
      </w:pPr>
      <w:r>
        <w:t xml:space="preserve">Geopolitical Sensitivities&amp; lt;td&gt;Ongoing geopolitical situations may affect funding or collaboration opportunities.&lt; td&gt;Avoid politically sensitive topics in research unless explicitly authorized; focus on universal scientific questions and technical collaborations.</w:t>
      </w:r>
    </w:p>
    <w:bookmarkEnd w:id="27"/>
    <w:bookmarkStart w:id="28" w:name="expected-deliverables-and-impact"/>
    <w:p>
      <w:pPr>
        <w:pStyle w:val="Heading2"/>
      </w:pPr>
      <w:r>
        <w:t xml:space="preserve">6. Expected Deliverables and Impact</w:t>
      </w:r>
    </w:p>
    <w:p>
      <w:pPr>
        <w:pStyle w:val="FirstParagraph"/>
      </w:pPr>
      <w:r>
        <w:t xml:space="preserve">The success of the</w:t>
      </w:r>
      <w:r>
        <w:t xml:space="preserve"> </w:t>
      </w:r>
      <w:r>
        <w:rPr>
          <w:bCs/>
          <w:b/>
        </w:rPr>
        <w:t xml:space="preserve">Academic Researcher</w:t>
      </w:r>
      <w:r>
        <w:t xml:space="preserve"> </w:t>
      </w:r>
      <w:r>
        <w:t xml:space="preserve">in &lt; strong&gt;Russia Moscow will be measured by tangible deliverables over a three-year period:</w:t>
      </w:r>
    </w:p>
    <w:p>
      <w:pPr>
        <w:numPr>
          <w:ilvl w:val="0"/>
          <w:numId w:val="1002"/>
        </w:numPr>
        <w:pStyle w:val="Compact"/>
      </w:pPr>
      <w:r>
        <w:t xml:space="preserve">Scholarly Publications :A minimum of five peer-reviewed articles in Q1/Q2 journals.</w:t>
      </w:r>
    </w:p>
    <w:p>
      <w:pPr>
        <w:numPr>
          <w:ilvl w:val="0"/>
          <w:numId w:val="1002"/>
        </w:numPr>
        <w:pStyle w:val="Compact"/>
      </w:pPr>
      <w:r>
        <w:t xml:space="preserve">&lt; strong&gt;Conference Presentations :/Strong&gt;Presentation at major conferences in Moscow and international forums.</w:t>
      </w:r>
    </w:p>
    <w:p>
      <w:pPr>
        <w:numPr>
          <w:ilvl w:val="0"/>
          <w:numId w:val="1002"/>
        </w:numPr>
        <w:pStyle w:val="Compact"/>
      </w:pPr>
      <w:r>
        <w:t xml:space="preserve">&lt; strong&gt;Institutional Contribution :/Strong&gt;Development of a new course module or research seminar open to students in</w:t>
      </w:r>
      <w:r>
        <w:t xml:space="preserve"> </w:t>
      </w:r>
      <w:r>
        <w:rPr>
          <w:bCs/>
          <w:b/>
        </w:rPr>
        <w:t xml:space="preserve">Russia Moscow</w:t>
      </w:r>
      <w:r>
        <w:t xml:space="preserve">.</w:t>
      </w:r>
    </w:p>
    <w:p>
      <w:pPr>
        <w:numPr>
          <w:ilvl w:val="0"/>
          <w:numId w:val="1002"/>
        </w:numPr>
        <w:pStyle w:val="Compact"/>
      </w:pPr>
      <w:r>
        <w:t xml:space="preserve">&lt; strong&gt;Mentorship :Supervision of at least two graduate students or PhD candidates.</w:t>
      </w:r>
    </w:p>
    <w:bookmarkEnd w:id="28"/>
    <w:bookmarkStart w:id="29" w:name="budget-and-resource-allocation"/>
    <w:p>
      <w:pPr>
        <w:pStyle w:val="Heading2"/>
      </w:pPr>
      <w:r>
        <w:t xml:space="preserve">7. Budget and Resource Allocation</w:t>
      </w:r>
    </w:p>
    <w:p>
      <w:pPr>
        <w:pStyle w:val="FirstParagraph"/>
      </w:pPr>
      <w:r>
        <w:t xml:space="preserve">Adequate funding is crucial for the effective performance of an</w:t>
      </w:r>
      <w:r>
        <w:t xml:space="preserve"> </w:t>
      </w:r>
      <w:r>
        <w:rPr>
          <w:bCs/>
          <w:b/>
        </w:rPr>
        <w:t xml:space="preserve">Academic Researcher</w:t>
      </w:r>
      <w:r>
        <w:t xml:space="preserve">. The budget should cover salary, relocation costs, laboratory fees (if applicable), and travel expenses for conferences. Special attention must be paid to currency exchange rates between the Euro/Dollar and the Russian Ruble when planning finances for operations in</w:t>
      </w:r>
    </w:p>
    <w:p>
      <w:pPr>
        <w:pStyle w:val="BodyText"/>
      </w:pPr>
      <w:r>
        <w:t xml:space="preserve">Russia Moscow.</w:t>
      </w:r>
    </w:p>
    <w:bookmarkEnd w:id="29"/>
    <w:bookmarkStart w:id="30" w:name="conclusion"/>
    <w:p>
      <w:pPr>
        <w:pStyle w:val="Heading2"/>
      </w:pPr>
      <w:r>
        <w:t xml:space="preserve">8. Conclusion</w:t>
      </w:r>
    </w:p>
    <w:p>
      <w:pPr>
        <w:pStyle w:val="FirstParagraph"/>
      </w:pPr>
      <w:r>
        <w:t xml:space="preserve">In conclusion, the position of an</w:t>
      </w:r>
      <w:r>
        <w:t xml:space="preserve"> </w:t>
      </w:r>
      <w:r>
        <w:rPr>
          <w:bCs/>
          <w:b/>
        </w:rPr>
        <w:t xml:space="preserve">Academic Researcher</w:t>
      </w:r>
      <w:r>
        <w:t xml:space="preserve"> </w:t>
      </w:r>
      <w:r>
        <w:t xml:space="preserve">in &lt; strong&gt;Russia Moscow offers a unique platform for academic growth and international cooperation. By carefully navigating the administrative, cultural, and professional landscapes of Moscow, researchers can make significant contributions to their fields. This report serves as a guiding document for stakeholders involved in the appointment and support of academic staff in this region. Success depends on strategic planning, adaptability, and a commitment to fostering cross-border intellectual exchange.</w:t>
      </w:r>
    </w:p>
    <w:p>
      <w:pPr>
        <w:pStyle w:val="BodyText"/>
      </w:pPr>
      <w:r>
        <w:t xml:space="preserve">The integration of an</w:t>
      </w:r>
      <w:r>
        <w:t xml:space="preserve"> </w:t>
      </w:r>
      <w:r>
        <w:rPr>
          <w:bCs/>
          <w:b/>
        </w:rPr>
        <w:t xml:space="preserve">Academic Researcher</w:t>
      </w:r>
      <w:r>
        <w:t xml:space="preserve"> </w:t>
      </w:r>
      <w:r>
        <w:t xml:space="preserve">into the Moscow ecosystem not only enhances the global reputation of the home institution but also strengthens Russia's position as a key player in international science and academia. We recommend proceeding with recruitment efforts immediately, ensuring that candidates possess both strong academic credentials and cultural adaptability.</w:t>
      </w:r>
    </w:p>
    <w:p>
      <w:pPr>
        <w:pStyle w:val="BodyText"/>
      </w:pPr>
      <w:r>
        <w:rPr>
          <w:iCs/>
          <w:i/>
        </w:rPr>
        <w:t xml:space="preserve">End of Project Report. Prepared for Internal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 Russia Moscow</dc:title>
  <dc:creator/>
  <dc:language>en</dc:language>
  <cp:keywords/>
  <dcterms:created xsi:type="dcterms:W3CDTF">2026-07-29T12:30:53Z</dcterms:created>
  <dcterms:modified xsi:type="dcterms:W3CDTF">2026-07-29T12:30:53Z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