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project-report"/>
    <w:p>
      <w:pPr>
        <w:pStyle w:val="Heading1"/>
      </w:pPr>
      <w:r>
        <w:t xml:space="preserve">Project Report</w:t>
      </w:r>
    </w:p>
    <w:p>
      <w:pPr>
        <w:pStyle w:val="FirstParagraph"/>
      </w:pPr>
      <w:r>
        <w:rPr>
          <w:iCs/>
          <w:i/>
          <w:bCs/>
          <w:b/>
        </w:rPr>
        <w:t xml:space="preserve">The Strategic Integration of Academic Researcher Roles within the Scientific Ecosystem of Russia Saint Petersburg</w:t>
      </w:r>
      <w:r>
        <w:br/>
      </w:r>
      <w:r>
        <w:br/>
      </w:r>
      <w:r>
        <w:rPr>
          <w:bCs/>
          <w:b/>
        </w:rPr>
        <w:t xml:space="preserve">Date:</w:t>
      </w:r>
      <w:r>
        <w:t xml:space="preserve"> </w:t>
      </w:r>
      <w:r>
        <w:t xml:space="preserve">October 26, 2023</w:t>
      </w:r>
      <w:r>
        <w:br/>
      </w:r>
      <w:r>
        <w:rPr>
          <w:bCs/>
          <w:b/>
        </w:rPr>
        <w:t xml:space="preserve">To:</w:t>
      </w:r>
      <w:r>
        <w:t xml:space="preserve"> </w:t>
      </w:r>
      <w:r>
        <w:t xml:space="preserve">Department of International Education and Science Policy</w:t>
      </w:r>
      <w:r>
        <w:br/>
      </w:r>
      <w:r>
        <w:rPr>
          <w:bCs/>
          <w:b/>
        </w:rPr>
        <w:t xml:space="preserve">From:</w:t>
      </w:r>
      <w:r>
        <w:t xml:space="preserve"> </w:t>
      </w:r>
      <w:r>
        <w:t xml:space="preserve">Strategic Planning Committee</w:t>
      </w:r>
      <w:r>
        <w:br/>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r>
        <w:t xml:space="preserve"> </w:t>
      </w:r>
      <w:r>
        <w:rPr>
          <w:iCs/>
          <w:i/>
          <w:bCs/>
          <w:b/>
        </w:rPr>
        <w:t xml:space="preserve">[Project Report]</w:t>
      </w:r>
    </w:p>
    <w:p>
      <w:pPr>
        <w:pStyle w:val="BodyText"/>
      </w:pPr>
      <w:r>
        <w:t xml:space="preserve">serves as a comprehensive analysis of the structural, economic, and academic implications of establishing specialized roles for an</w:t>
      </w:r>
    </w:p>
    <w:p>
      <w:pPr>
        <w:pStyle w:val="BodyText"/>
      </w:pPr>
      <w:r>
        <w:rPr>
          <w:iCs/>
          <w:i/>
        </w:rPr>
        <w:t xml:space="preserve">[Academic Researcher]</w:t>
      </w:r>
    </w:p>
    <w:p>
      <w:pPr>
        <w:pStyle w:val="BodyText"/>
      </w:pPr>
      <w:r>
        <w:t xml:space="preserve">within the vibrant intellectual landscape of</w:t>
      </w:r>
      <w:r>
        <w:t xml:space="preserve"> </w:t>
      </w:r>
      <w:r>
        <w:rPr>
          <w:bCs/>
          <w:b/>
        </w:rPr>
        <w:t xml:space="preserve">Russia Saint Petersburg</w:t>
      </w:r>
      <w:r>
        <w:t xml:space="preserve">. The city has historically stood as a beacon of enlightenment in Northern Europe, possessing a unique dual identity that bridges its imperial past with its modern technological aspirations. This document outlines the necessity for structured research initiatives, detailing how an</w:t>
      </w:r>
    </w:p>
    <w:p>
      <w:pPr>
        <w:pStyle w:val="BodyText"/>
      </w:pPr>
      <w:r>
        <w:rPr>
          <w:iCs/>
          <w:i/>
        </w:rPr>
        <w:t xml:space="preserve">[Academic Researcher]</w:t>
      </w:r>
    </w:p>
    <w:p>
      <w:pPr>
        <w:pStyle w:val="BodyText"/>
      </w:pPr>
      <w:r>
        <w:t xml:space="preserve">can leverage the existing infrastructure of</w:t>
      </w:r>
      <w:r>
        <w:t xml:space="preserve"> </w:t>
      </w:r>
      <w:r>
        <w:rPr>
          <w:bCs/>
          <w:b/>
        </w:rPr>
        <w:t xml:space="preserve">Russia Saint Petersburg</w:t>
      </w:r>
      <w:r>
        <w:t xml:space="preserve"> </w:t>
      </w:r>
      <w:r>
        <w:t xml:space="preserve">to foster international collaboration, advance scientific inquiry, and contribute to local economic development. The findings suggest that targeted investment in academic personnel yields significant returns in terms of innovation indices and global academic visibility.</w:t>
      </w:r>
    </w:p>
    <w:bookmarkEnd w:id="20"/>
    <w:bookmarkStart w:id="21" w:name="introduction-and-background"/>
    <w:p>
      <w:pPr>
        <w:pStyle w:val="Heading2"/>
      </w:pPr>
      <w:r>
        <w:t xml:space="preserve">2. Introduction and Background</w:t>
      </w:r>
    </w:p>
    <w:p>
      <w:pPr>
        <w:pStyle w:val="FirstParagraph"/>
      </w:pPr>
      <w:r>
        <w:rPr>
          <w:iCs/>
          <w:i/>
        </w:rPr>
        <w:t xml:space="preserve">[Russia Saint Petersburg]</w:t>
      </w:r>
    </w:p>
    <w:p>
      <w:pPr>
        <w:pStyle w:val="BodyText"/>
      </w:pPr>
      <w:r>
        <w:t xml:space="preserve">is not merely a geographic location; it is a historical archive of scientific endeavor. Founded by Peter the Great, the city was designed as a "Window to the West," facilitating an exchange of ideas that continues to define its cultural and intellectual character today. Within this context, the role of an</w:t>
      </w:r>
    </w:p>
    <w:p>
      <w:pPr>
        <w:pStyle w:val="BodyText"/>
      </w:pPr>
      <w:r>
        <w:rPr>
          <w:iCs/>
          <w:i/>
        </w:rPr>
        <w:t xml:space="preserve">[Academic Researcher]</w:t>
      </w:r>
    </w:p>
    <w:p>
      <w:pPr>
        <w:pStyle w:val="BodyText"/>
      </w:pPr>
      <w:r>
        <w:t xml:space="preserve">is paramount. Unlike general teaching positions, academic research requires a sustained commitment to inquiry, data analysis, and theoretical development.</w:t>
      </w:r>
      <w:r>
        <w:t xml:space="preserve"> </w:t>
      </w:r>
      <w:r>
        <w:t xml:space="preserve">The objective of this project is to define the scope of work for an</w:t>
      </w:r>
    </w:p>
    <w:p>
      <w:pPr>
        <w:pStyle w:val="BodyText"/>
      </w:pPr>
      <w:r>
        <w:rPr>
          <w:iCs/>
          <w:i/>
        </w:rPr>
        <w:t xml:space="preserve">[Academic Researcher]</w:t>
      </w:r>
    </w:p>
    <w:p>
      <w:pPr>
        <w:pStyle w:val="BodyText"/>
      </w:pPr>
      <w:r>
        <w:t xml:space="preserve">operating in</w:t>
      </w:r>
      <w:r>
        <w:t xml:space="preserve"> </w:t>
      </w:r>
      <w:r>
        <w:rPr>
          <w:bCs/>
          <w:b/>
        </w:rPr>
        <w:t xml:space="preserve">Russia Saint Petersburg</w:t>
      </w:r>
      <w:r>
        <w:t xml:space="preserve">. The report highlights the specific advantages offered by the city’s concentration of universities, such as Saint Petersburg State University and ITMO University, alongside specialized institutes like the Pulkovo Observatory. By situating an</w:t>
      </w:r>
    </w:p>
    <w:p>
      <w:pPr>
        <w:pStyle w:val="BodyText"/>
      </w:pPr>
      <w:r>
        <w:rPr>
          <w:iCs/>
          <w:i/>
        </w:rPr>
        <w:t xml:space="preserve">[Academic Researcher]</w:t>
      </w:r>
    </w:p>
    <w:p>
      <w:pPr>
        <w:pStyle w:val="BodyText"/>
      </w:pPr>
      <w:r>
        <w:t xml:space="preserve">within this ecosystem, we aim to create a synergy between local expertise and global research standards.</w:t>
      </w:r>
    </w:p>
    <w:bookmarkEnd w:id="21"/>
    <w:bookmarkStart w:id="25" w:name="X676c89acfbcedebf3f4f5e21dd284df353c01c5"/>
    <w:p>
      <w:pPr>
        <w:pStyle w:val="Heading2"/>
      </w:pPr>
      <w:r>
        <w:t xml:space="preserve">3. Strategic Importance of the Academic Researcher Role</w:t>
      </w:r>
    </w:p>
    <w:p>
      <w:pPr>
        <w:pStyle w:val="FirstParagraph"/>
      </w:pPr>
      <w:r>
        <w:t xml:space="preserve">The appointment of an</w:t>
      </w:r>
    </w:p>
    <w:p>
      <w:pPr>
        <w:pStyle w:val="BodyText"/>
      </w:pPr>
      <w:r>
        <w:rPr>
          <w:iCs/>
          <w:i/>
        </w:rPr>
        <w:t xml:space="preserve">[Academic Researcher]</w:t>
      </w:r>
    </w:p>
    <w:p>
      <w:pPr>
        <w:pStyle w:val="BodyText"/>
      </w:pPr>
      <w:r>
        <w:t xml:space="preserve">in</w:t>
      </w:r>
      <w:r>
        <w:t xml:space="preserve"> </w:t>
      </w:r>
      <w:r>
        <w:rPr>
          <w:bCs/>
          <w:b/>
        </w:rPr>
        <w:t xml:space="preserve">Russia Saint Petersburg</w:t>
      </w:r>
      <w:r>
        <w:t xml:space="preserve"> </w:t>
      </w:r>
      <w:r>
        <w:t xml:space="preserve">addresses several critical needs in the current academic landscape:</w:t>
      </w:r>
    </w:p>
    <w:bookmarkStart w:id="22" w:name="Xd24dd6f36670202742a83e7c065470cd6234672"/>
    <w:p>
      <w:pPr>
        <w:pStyle w:val="Heading3"/>
      </w:pPr>
      <w:r>
        <w:t xml:space="preserve">3.1 Bridging Historical Knowledge and Modern Technology</w:t>
      </w:r>
    </w:p>
    <w:p>
      <w:pPr>
        <w:pStyle w:val="FirstParagraph"/>
      </w:pPr>
      <w:r>
        <w:rPr>
          <w:iCs/>
          <w:i/>
        </w:rPr>
        <w:t xml:space="preserve">[Russia Saint Petersburg]</w:t>
      </w:r>
    </w:p>
    <w:p>
      <w:pPr>
        <w:pStyle w:val="BodyText"/>
      </w:pPr>
      <w:r>
        <w:t xml:space="preserve">possesses a rich heritage in mathematics, physics, and computer science. An</w:t>
      </w:r>
    </w:p>
    <w:p>
      <w:pPr>
        <w:pStyle w:val="BodyText"/>
      </w:pPr>
      <w:r>
        <w:rPr>
          <w:iCs/>
          <w:i/>
        </w:rPr>
        <w:t xml:space="preserve">[Academic Researcher]</w:t>
      </w:r>
    </w:p>
    <w:p>
      <w:pPr>
        <w:pStyle w:val="BodyText"/>
      </w:pPr>
      <w:r>
        <w:t xml:space="preserve">serves as the catalyst that translates this historical strength into modern applications. Whether focusing on quantum computing, marine biology given the city's access to the Gulf of Finland, or classical literature analysis, the researcher ensures that traditional academic rigor is maintained while adapting to contemporary global challenges.</w:t>
      </w:r>
    </w:p>
    <w:bookmarkEnd w:id="22"/>
    <w:bookmarkStart w:id="23" w:name="fostering-international-collaboration"/>
    <w:p>
      <w:pPr>
        <w:pStyle w:val="Heading3"/>
      </w:pPr>
      <w:r>
        <w:t xml:space="preserve">3.2 Fostering International Collaboration</w:t>
      </w:r>
    </w:p>
    <w:p>
      <w:pPr>
        <w:pStyle w:val="FirstParagraph"/>
      </w:pPr>
      <w:r>
        <w:t xml:space="preserve">In an increasingly interconnected world, isolationism in science is detrimental. An</w:t>
      </w:r>
    </w:p>
    <w:p>
      <w:pPr>
        <w:pStyle w:val="BodyText"/>
      </w:pPr>
      <w:r>
        <w:rPr>
          <w:iCs/>
          <w:i/>
        </w:rPr>
        <w:t xml:space="preserve">[Academic Researcher]</w:t>
      </w:r>
    </w:p>
    <w:p>
      <w:pPr>
        <w:pStyle w:val="BodyText"/>
      </w:pPr>
      <w:r>
        <w:t xml:space="preserve">based in</w:t>
      </w:r>
      <w:r>
        <w:t xml:space="preserve"> </w:t>
      </w:r>
      <w:r>
        <w:rPr>
          <w:bCs/>
          <w:b/>
        </w:rPr>
        <w:t xml:space="preserve">Russia Saint Petersburg</w:t>
      </w:r>
      <w:r>
        <w:t xml:space="preserve"> </w:t>
      </w:r>
      <w:r>
        <w:t xml:space="preserve">acts as a diplomatic and intellectual bridge. They are expected to establish partnerships with institutions across Europe and Asia, facilitating joint publications, exchange programs, and collaborative grants. This role is essential for maintaining the global competitiveness of local universities.</w:t>
      </w:r>
    </w:p>
    <w:bookmarkEnd w:id="23"/>
    <w:bookmarkStart w:id="24" w:name="contributing-to-regional-innovation"/>
    <w:p>
      <w:pPr>
        <w:pStyle w:val="Heading3"/>
      </w:pPr>
      <w:r>
        <w:t xml:space="preserve">3.3 Contributing to Regional Innovation</w:t>
      </w:r>
    </w:p>
    <w:p>
      <w:pPr>
        <w:pStyle w:val="FirstParagraph"/>
      </w:pPr>
      <w:r>
        <w:t xml:space="preserve">The economy of</w:t>
      </w:r>
      <w:r>
        <w:t xml:space="preserve"> </w:t>
      </w:r>
      <w:r>
        <w:rPr>
          <w:bCs/>
          <w:b/>
        </w:rPr>
        <w:t xml:space="preserve">Russia Saint Petersburg</w:t>
      </w:r>
      <w:r>
        <w:t xml:space="preserve"> </w:t>
      </w:r>
      <w:r>
        <w:t xml:space="preserve">is diversifying beyond tourism and heavy industry into high-tech sectors. An</w:t>
      </w:r>
    </w:p>
    <w:p>
      <w:pPr>
        <w:pStyle w:val="BodyText"/>
      </w:pPr>
      <w:r>
        <w:rPr>
          <w:iCs/>
          <w:i/>
        </w:rPr>
        <w:t xml:space="preserve">[Academic Researcher]</w:t>
      </w:r>
    </w:p>
    <w:p>
      <w:pPr>
        <w:pStyle w:val="BodyText"/>
      </w:pPr>
      <w:r>
        <w:t xml:space="preserve">contributes directly to this shift by developing technologies and methodologies that can be commercialized or applied in public policy. The translational potential of academic work is significantly higher when the researcher is embedded in an industrial hub like Saint Petersburg, which hosts numerous engineering firms and biotech startups.</w:t>
      </w:r>
    </w:p>
    <w:bookmarkEnd w:id="24"/>
    <w:bookmarkEnd w:id="25"/>
    <w:bookmarkStart w:id="29" w:name="operational-framework"/>
    <w:p>
      <w:pPr>
        <w:pStyle w:val="Heading2"/>
      </w:pPr>
      <w:r>
        <w:t xml:space="preserve">4. Operational Framework</w:t>
      </w:r>
    </w:p>
    <w:p>
      <w:pPr>
        <w:pStyle w:val="FirstParagraph"/>
      </w:pPr>
      <w:r>
        <w:t xml:space="preserve">To ensure the success of the</w:t>
      </w:r>
    </w:p>
    <w:p>
      <w:pPr>
        <w:pStyle w:val="BodyText"/>
      </w:pPr>
      <w:r>
        <w:rPr>
          <w:iCs/>
          <w:i/>
        </w:rPr>
        <w:t xml:space="preserve">[Academic Researcher]</w:t>
      </w:r>
    </w:p>
    <w:p>
      <w:pPr>
        <w:pStyle w:val="BodyText"/>
      </w:pPr>
      <w:r>
        <w:t xml:space="preserve">position, a clear operational framework is required. This section outlines the key responsibilities and environmental considerations for conducting research in</w:t>
      </w:r>
      <w:r>
        <w:t xml:space="preserve"> </w:t>
      </w:r>
      <w:r>
        <w:rPr>
          <w:bCs/>
          <w:b/>
        </w:rPr>
        <w:t xml:space="preserve">Russia Saint Petersburg</w:t>
      </w:r>
      <w:r>
        <w:t xml:space="preserve">.</w:t>
      </w:r>
    </w:p>
    <w:bookmarkStart w:id="26" w:name="research-focus-areas"/>
    <w:p>
      <w:pPr>
        <w:pStyle w:val="Heading3"/>
      </w:pPr>
      <w:r>
        <w:t xml:space="preserve">4.1 Research Focus Areas</w:t>
      </w:r>
    </w:p>
    <w:p>
      <w:pPr>
        <w:pStyle w:val="FirstParagraph"/>
      </w:pPr>
      <w:r>
        <w:t xml:space="preserve">The primary focus should align with the strategic priorities of</w:t>
      </w:r>
      <w:r>
        <w:t xml:space="preserve"> </w:t>
      </w:r>
      <w:r>
        <w:rPr>
          <w:bCs/>
          <w:b/>
        </w:rPr>
        <w:t xml:space="preserve">Russia Saint Petersburg</w:t>
      </w:r>
      <w:r>
        <w:t xml:space="preserve">. Priority sectors include:</w:t>
      </w:r>
    </w:p>
    <w:p>
      <w:pPr>
        <w:numPr>
          <w:ilvl w:val="0"/>
          <w:numId w:val="1001"/>
        </w:numPr>
        <w:pStyle w:val="Compact"/>
      </w:pPr>
      <w:r>
        <w:rPr>
          <w:bCs/>
          <w:b/>
        </w:rPr>
        <w:t xml:space="preserve">Digital Humanities:</w:t>
      </w:r>
      <w:r>
        <w:t xml:space="preserve"> </w:t>
      </w:r>
      <w:r>
        <w:t xml:space="preserve">Leveraging the city’s vast libraries and archives.</w:t>
      </w:r>
    </w:p>
    <w:p>
      <w:pPr>
        <w:numPr>
          <w:ilvl w:val="0"/>
          <w:numId w:val="1001"/>
        </w:numPr>
        <w:pStyle w:val="Compact"/>
      </w:pPr>
      <w:r>
        <w:rPr>
          <w:bCs/>
          <w:b/>
        </w:rPr>
        <w:t xml:space="preserve">Nanotechnology and Materials Science:</w:t>
      </w:r>
      <w:r>
        <w:t xml:space="preserve"> </w:t>
      </w:r>
      <w:r>
        <w:t xml:space="preserve">Utilizing advanced laboratories available in Skolkovo-affiliated projects nearby.</w:t>
      </w:r>
    </w:p>
    <w:p>
      <w:pPr>
        <w:numPr>
          <w:ilvl w:val="0"/>
          <w:numId w:val="1001"/>
        </w:numPr>
        <w:pStyle w:val="Compact"/>
      </w:pPr>
      <w:r>
        <w:rPr>
          <w:bCs/>
          <w:b/>
        </w:rPr>
        <w:t xml:space="preserve">Astronomy and Space Sciences:</w:t>
      </w:r>
      <w:r>
        <w:t xml:space="preserve"> </w:t>
      </w:r>
      <w:r>
        <w:t xml:space="preserve">Capitalizing on the expertise of local observatories.</w:t>
      </w:r>
    </w:p>
    <w:bookmarkEnd w:id="26"/>
    <w:bookmarkStart w:id="27" w:name="infrastructure-and-resources"/>
    <w:p>
      <w:pPr>
        <w:pStyle w:val="Heading3"/>
      </w:pPr>
      <w:r>
        <w:t xml:space="preserve">4.2 Infrastructure and Resources</w:t>
      </w:r>
    </w:p>
    <w:p>
      <w:pPr>
        <w:pStyle w:val="FirstParagraph"/>
      </w:pPr>
      <w:r>
        <w:t xml:space="preserve">An</w:t>
      </w:r>
    </w:p>
    <w:p>
      <w:pPr>
        <w:pStyle w:val="BodyText"/>
      </w:pPr>
      <w:r>
        <w:rPr>
          <w:iCs/>
          <w:i/>
        </w:rPr>
        <w:t xml:space="preserve">[Academic Researcher]</w:t>
      </w:r>
    </w:p>
    <w:p>
      <w:pPr>
        <w:pStyle w:val="BodyText"/>
      </w:pPr>
      <w:r>
        <w:t xml:space="preserve">must have access to high-performance computing clusters, specialized libraries, and peer-reviewed databases. In</w:t>
      </w:r>
      <w:r>
        <w:t xml:space="preserve"> </w:t>
      </w:r>
      <w:r>
        <w:rPr>
          <w:bCs/>
          <w:b/>
        </w:rPr>
        <w:t xml:space="preserve">Russia Saint Petersburg</w:t>
      </w:r>
      <w:r>
        <w:t xml:space="preserve">, these resources are centralized in academic quarters such as the Vyborgsky District. The project report recommends securing long-term access agreements with these institutions to ensure stability for longitudinal studies.</w:t>
      </w:r>
    </w:p>
    <w:bookmarkEnd w:id="27"/>
    <w:bookmarkStart w:id="28" w:name="regulatory-and-ethical-compliance"/>
    <w:p>
      <w:pPr>
        <w:pStyle w:val="Heading3"/>
      </w:pPr>
      <w:r>
        <w:t xml:space="preserve">4.3 Regulatory and Ethical Compliance</w:t>
      </w:r>
    </w:p>
    <w:p>
      <w:pPr>
        <w:pStyle w:val="FirstParagraph"/>
      </w:pPr>
      <w:r>
        <w:t xml:space="preserve">Navigating the regulatory environment is crucial. The</w:t>
      </w:r>
    </w:p>
    <w:p>
      <w:pPr>
        <w:pStyle w:val="BodyText"/>
      </w:pPr>
      <w:r>
        <w:rPr>
          <w:iCs/>
          <w:i/>
        </w:rPr>
        <w:t xml:space="preserve">[Academic Researcher]</w:t>
      </w:r>
    </w:p>
    <w:p>
      <w:pPr>
        <w:pStyle w:val="BodyText"/>
      </w:pPr>
      <w:r>
        <w:t xml:space="preserve">must adhere to both Russian federal laws regarding scientific activity and international ethical standards, particularly when dealing with human subjects or sensitive data. Transparency in funding sources and methodology is vital for maintaining credibility.</w:t>
      </w:r>
    </w:p>
    <w:bookmarkEnd w:id="28"/>
    <w:bookmarkEnd w:id="29"/>
    <w:bookmarkStart w:id="30" w:name="challenges-and-mitigation-strategies"/>
    <w:p>
      <w:pPr>
        <w:pStyle w:val="Heading2"/>
      </w:pPr>
      <w:r>
        <w:t xml:space="preserve">5. Challenges and Mitigation Strategies</w:t>
      </w:r>
    </w:p>
    <w:p>
      <w:pPr>
        <w:pStyle w:val="FirstParagraph"/>
      </w:pPr>
      <w:r>
        <w:t xml:space="preserve">While</w:t>
      </w:r>
      <w:r>
        <w:t xml:space="preserve"> </w:t>
      </w:r>
      <w:r>
        <w:rPr>
          <w:bCs/>
          <w:b/>
        </w:rPr>
        <w:t xml:space="preserve">Russia Saint Petersburg</w:t>
      </w:r>
      <w:r>
        <w:t xml:space="preserve"> </w:t>
      </w:r>
      <w:r>
        <w:t xml:space="preserve">offers immense potential, the</w:t>
      </w:r>
    </w:p>
    <w:p>
      <w:pPr>
        <w:pStyle w:val="BodyText"/>
      </w:pPr>
      <w:r>
        <w:rPr>
          <w:iCs/>
          <w:i/>
        </w:rPr>
        <w:t xml:space="preserve">[Academic Researcher]</w:t>
      </w:r>
    </w:p>
    <w:p>
      <w:pPr>
        <w:pStyle w:val="BodyText"/>
      </w:pPr>
      <w:r>
        <w:t xml:space="preserve">may encounter specific challenges:</w:t>
      </w:r>
    </w:p>
    <w:p>
      <w:pPr>
        <w:numPr>
          <w:ilvl w:val="0"/>
          <w:numId w:val="1002"/>
        </w:numPr>
        <w:pStyle w:val="Compact"/>
      </w:pPr>
      <w:r>
        <w:rPr>
          <w:bCs/>
          <w:b/>
        </w:rPr>
        <w:t xml:space="preserve">Bureaucratic Hurdles:</w:t>
      </w:r>
      <w:r>
        <w:t xml:space="preserve">S visas, work permits, and administrative paperwork can be complex. Mitigation involves employing local administrative support staff who are familiar with the legal landscape.</w:t>
      </w:r>
    </w:p>
    <w:p>
      <w:pPr>
        <w:numPr>
          <w:ilvl w:val="0"/>
          <w:numId w:val="1002"/>
        </w:numPr>
      </w:pPr>
      <w:r>
        <w:rPr>
          <w:bCs/>
          <w:b/>
        </w:rPr>
        <w:t xml:space="preserve">Cultural Integration:</w:t>
      </w:r>
      <w:r>
        <w:t xml:space="preserve"> </w:t>
      </w:r>
      <w:r>
        <w:t xml:space="preserve">Language barriers may impede collaboration. It is recommended that the</w:t>
      </w:r>
    </w:p>
    <w:p>
      <w:pPr>
        <w:numPr>
          <w:ilvl w:val="0"/>
          <w:numId w:val="1000"/>
        </w:numPr>
      </w:pPr>
      <w:r>
        <w:rPr>
          <w:iCs/>
          <w:i/>
        </w:rPr>
        <w:t xml:space="preserve">[Academic Researcher]</w:t>
      </w:r>
    </w:p>
    <w:p>
      <w:pPr>
        <w:numPr>
          <w:ilvl w:val="0"/>
          <w:numId w:val="1000"/>
        </w:numPr>
      </w:pPr>
      <w:r>
        <w:t xml:space="preserve">undergo intensive language training to engage effectively with local peers and students.</w:t>
      </w:r>
    </w:p>
    <w:p>
      <w:pPr>
        <w:numPr>
          <w:ilvl w:val="0"/>
          <w:numId w:val="1002"/>
        </w:numPr>
        <w:pStyle w:val="Compact"/>
      </w:pPr>
      <w:r>
        <w:t xml:space="preserve">Funding Volatility:Funding cycles in academia can be unpredictable. Diversifying funding sources through international grants and private sector partnerships is a recommended strategy.</w:t>
      </w:r>
    </w:p>
    <w:bookmarkEnd w:id="30"/>
    <w:bookmarkStart w:id="31" w:name="expected-outcomes-and-impact"/>
    <w:p>
      <w:pPr>
        <w:pStyle w:val="Heading2"/>
      </w:pPr>
      <w:r>
        <w:t xml:space="preserve">6. Expected Outcomes and Impact</w:t>
      </w:r>
    </w:p>
    <w:p>
      <w:pPr>
        <w:pStyle w:val="FirstParagraph"/>
      </w:pPr>
      <w:r>
        <w:t xml:space="preserve">The successful integration of an</w:t>
      </w:r>
    </w:p>
    <w:p>
      <w:pPr>
        <w:pStyle w:val="BodyText"/>
      </w:pPr>
      <w:r>
        <w:rPr>
          <w:iCs/>
          <w:i/>
        </w:rPr>
        <w:t xml:space="preserve">[Academic Researcher]</w:t>
      </w:r>
    </w:p>
    <w:p>
      <w:pPr>
        <w:pStyle w:val="BodyText"/>
      </w:pPr>
      <w:r>
        <w:t xml:space="preserve">in</w:t>
      </w:r>
      <w:r>
        <w:t xml:space="preserve"> </w:t>
      </w:r>
      <w:r>
        <w:rPr>
          <w:bCs/>
          <w:b/>
        </w:rPr>
        <w:t xml:space="preserve">Russia Saint Petersburg</w:t>
      </w:r>
      <w:r>
        <w:t xml:space="preserve"> </w:t>
      </w:r>
      <w:r>
        <w:t xml:space="preserve">is expected to yield measurable outcomes within three years:</w:t>
      </w:r>
    </w:p>
    <w:p>
      <w:pPr>
        <w:numPr>
          <w:ilvl w:val="0"/>
          <w:numId w:val="1003"/>
        </w:numPr>
        <w:pStyle w:val="Compact"/>
      </w:pPr>
      <w:r>
        <w:t xml:space="preserve">Publishing Output:An increase in high-impact journal publications co-authored with international partners.</w:t>
      </w:r>
    </w:p>
    <w:p>
      <w:pPr>
        <w:numPr>
          <w:ilvl w:val="0"/>
          <w:numId w:val="1003"/>
        </w:numPr>
        <w:pStyle w:val="Compact"/>
      </w:pPr>
      <w:r>
        <w:t xml:space="preserve">Educational Enhancement:The development of new interdisciplinary courses that reflect cutting-edge research trends.</w:t>
      </w:r>
    </w:p>
    <w:p>
      <w:pPr>
        <w:numPr>
          <w:ilvl w:val="0"/>
          <w:numId w:val="1003"/>
        </w:numPr>
        <w:pStyle w:val="Compact"/>
      </w:pPr>
      <w:r>
        <w:t xml:space="preserve">Community Engagement:Seminars and public lectures that bring scientific discourse to the wider community of</w:t>
      </w:r>
      <w:r>
        <w:t xml:space="preserve"> </w:t>
      </w:r>
      <w:r>
        <w:rPr>
          <w:bCs/>
          <w:b/>
        </w:rPr>
        <w:t xml:space="preserve">Russia Saint Petersburg</w:t>
      </w:r>
      <w:r>
        <w:t xml:space="preserve">, enhancing scientific literacy.</w:t>
      </w:r>
    </w:p>
    <w:bookmarkEnd w:id="31"/>
    <w:bookmarkStart w:id="32" w:name="conclusion"/>
    <w:p>
      <w:pPr>
        <w:pStyle w:val="Heading2"/>
      </w:pPr>
      <w:r>
        <w:t xml:space="preserve">7. Conclusion</w:t>
      </w:r>
    </w:p>
    <w:p>
      <w:pPr>
        <w:pStyle w:val="FirstParagraph"/>
      </w:pPr>
      <w:r>
        <w:t xml:space="preserve">This</w:t>
      </w:r>
    </w:p>
    <w:p>
      <w:pPr>
        <w:pStyle w:val="BodyText"/>
      </w:pPr>
      <w:r>
        <w:rPr>
          <w:iCs/>
          <w:i/>
        </w:rPr>
        <w:t xml:space="preserve">[Project Report]</w:t>
      </w:r>
    </w:p>
    <w:p>
      <w:pPr>
        <w:pStyle w:val="BodyText"/>
      </w:pPr>
      <w:r>
        <w:t xml:space="preserve">concludes that the establishment of a dedicated</w:t>
      </w:r>
    </w:p>
    <w:p>
      <w:pPr>
        <w:pStyle w:val="BodyText"/>
      </w:pPr>
      <w:r>
        <w:rPr>
          <w:iCs/>
          <w:i/>
        </w:rPr>
        <w:t xml:space="preserve">[Academic Researcher]</w:t>
      </w:r>
    </w:p>
    <w:p>
      <w:pPr>
        <w:pStyle w:val="BodyText"/>
      </w:pPr>
      <w:r>
        <w:t xml:space="preserve">role in</w:t>
      </w:r>
      <w:r>
        <w:t xml:space="preserve"> </w:t>
      </w:r>
      <w:r>
        <w:rPr>
          <w:bCs/>
          <w:b/>
        </w:rPr>
        <w:t xml:space="preserve">Russia Saint Petersburg</w:t>
      </w:r>
      <w:r>
        <w:t xml:space="preserve"> </w:t>
      </w:r>
      <w:r>
        <w:t xml:space="preserve">is not only feasible but strategically imperative. The city offers a unique confluence of historical significance, modern infrastructure, and intellectual vitality. By empowering an</w:t>
      </w:r>
    </w:p>
    <w:p>
      <w:pPr>
        <w:pStyle w:val="BodyText"/>
      </w:pPr>
      <w:r>
        <w:rPr>
          <w:iCs/>
          <w:i/>
        </w:rPr>
        <w:t xml:space="preserve">[Academic Researcher]</w:t>
      </w:r>
    </w:p>
    <w:p>
      <w:pPr>
        <w:pStyle w:val="BodyText"/>
      </w:pPr>
      <w:r>
        <w:t xml:space="preserve">with the necessary resources and support, stakeholders can unlock significant academic and economic value. This initiative aligns with broader goals of fostering innovation, promoting international cooperation, and preserving the legacy of scholarly excellence that defines</w:t>
      </w:r>
      <w:r>
        <w:t xml:space="preserve"> </w:t>
      </w:r>
      <w:r>
        <w:rPr>
          <w:bCs/>
          <w:b/>
        </w:rPr>
        <w:t xml:space="preserve">Russia Saint Petersburg</w:t>
      </w:r>
      <w:r>
        <w:t xml:space="preserve">.</w:t>
      </w:r>
      <w:r>
        <w:t xml:space="preserve"> </w:t>
      </w:r>
      <w:r>
        <w:t xml:space="preserve">The time to act is now. By investing in human capital through this specialized role, we ensure that</w:t>
      </w:r>
      <w:r>
        <w:t xml:space="preserve"> </w:t>
      </w:r>
      <w:r>
        <w:rPr>
          <w:bCs/>
          <w:b/>
        </w:rPr>
        <w:t xml:space="preserve">Russia Saint Petersburg</w:t>
      </w:r>
      <w:r>
        <w:t xml:space="preserve"> </w:t>
      </w:r>
      <w:r>
        <w:t xml:space="preserve">remains a pivotal node in the global network of academic research. The proposed framework provides a robust foundation for success, ensuring that the</w:t>
      </w:r>
    </w:p>
    <w:p>
      <w:pPr>
        <w:pStyle w:val="BodyText"/>
      </w:pPr>
      <w:r>
        <w:rPr>
          <w:iCs/>
          <w:i/>
        </w:rPr>
        <w:t xml:space="preserve">[Academic Researcher]</w:t>
      </w:r>
    </w:p>
    <w:p>
      <w:pPr>
        <w:pStyle w:val="BodyText"/>
      </w:pPr>
      <w:r>
        <w:t xml:space="preserve">can thrive and contribute meaningfully to the scientific community.</w:t>
      </w:r>
    </w:p>
    <w:bookmarkEnd w:id="32"/>
    <w:bookmarkStart w:id="33" w:name="recommendations"/>
    <w:p>
      <w:pPr>
        <w:pStyle w:val="Heading2"/>
      </w:pPr>
      <w:r>
        <w:t xml:space="preserve">8. Recommendations</w:t>
      </w:r>
    </w:p>
    <w:p>
      <w:pPr>
        <w:pStyle w:val="FirstParagraph"/>
      </w:pPr>
      <w:r>
        <w:t xml:space="preserve">1. Immediately initiate recruitment for the</w:t>
      </w:r>
    </w:p>
    <w:p>
      <w:pPr>
        <w:pStyle w:val="BodyText"/>
      </w:pPr>
      <w:r>
        <w:rPr>
          <w:iCs/>
          <w:i/>
        </w:rPr>
        <w:t xml:space="preserve">[Academic Researcher]</w:t>
      </w:r>
    </w:p>
    <w:p>
      <w:pPr>
        <w:pStyle w:val="BodyText"/>
      </w:pPr>
      <w:r>
        <w:t xml:space="preserve">position, prioritizing candidates with experience in cross-border collaboration.</w:t>
      </w:r>
    </w:p>
    <w:p>
      <w:pPr>
        <w:pStyle w:val="BodyText"/>
      </w:pPr>
      <w:r>
        <w:t xml:space="preserve">2. Secure partnerships with local institutions in</w:t>
      </w:r>
      <w:r>
        <w:t xml:space="preserve"> </w:t>
      </w:r>
      <w:r>
        <w:rPr>
          <w:bCs/>
          <w:b/>
        </w:rPr>
        <w:t xml:space="preserve">Russia Saint Petersburg</w:t>
      </w:r>
      <w:r>
        <w:t xml:space="preserve"> </w:t>
      </w:r>
      <w:r>
        <w:t xml:space="preserve">to guarantee resource access.</w:t>
      </w:r>
    </w:p>
    <w:p>
      <w:pPr>
        <w:pStyle w:val="BodyText"/>
      </w:pPr>
      <w:r>
        <w:t xml:space="preserve">3. Establish a dedicated budget for the researcher’s travel and conference participation to maintain global visibility.</w:t>
      </w:r>
    </w:p>
    <w:p>
      <w:pPr>
        <w:pStyle w:val="BodyText"/>
      </w:pPr>
      <w:r>
        <w:t xml:space="preserve">4. Launch a quarterly review process within this</w:t>
      </w:r>
    </w:p>
    <w:p>
      <w:pPr>
        <w:pStyle w:val="BodyText"/>
      </w:pPr>
      <w:r>
        <w:rPr>
          <w:iCs/>
          <w:i/>
        </w:rPr>
        <w:t xml:space="preserve">[Project Report]</w:t>
      </w:r>
    </w:p>
    <w:p>
      <w:pPr>
        <w:pStyle w:val="BodyText"/>
      </w:pPr>
      <w:r>
        <w:t xml:space="preserve">framework to assess progress and adjust strategies as needed.</w:t>
      </w:r>
    </w:p>
    <w:p>
      <w:pPr>
        <w:pStyle w:val="BodyText"/>
      </w:pPr>
      <w:r>
        <w:br/>
      </w:r>
      <w:r>
        <w:br/>
      </w:r>
    </w:p>
    <w:p>
      <w:pPr>
        <w:pStyle w:val="BodyText"/>
      </w:pPr>
      <w:r>
        <w:rPr>
          <w:bCs/>
          <w:b/>
        </w:rPr>
        <w:t xml:space="preserve">Note:</w:t>
      </w:r>
      <w:r>
        <w:t xml:space="preserve"> </w:t>
      </w:r>
      <w:r>
        <w:t xml:space="preserve">This document is confidential and intended for internal strategic planning purposes only. All references to</w:t>
      </w:r>
      <w:r>
        <w:t xml:space="preserve"> </w:t>
      </w:r>
      <w:r>
        <w:rPr>
          <w:bCs/>
          <w:b/>
        </w:rPr>
        <w:t xml:space="preserve">Russia Saint Petersburg</w:t>
      </w:r>
      <w:r>
        <w:t xml:space="preserve">, the role of an</w:t>
      </w:r>
    </w:p>
    <w:p>
      <w:pPr>
        <w:pStyle w:val="BodyText"/>
      </w:pPr>
      <w:r>
        <w:rPr>
          <w:iCs/>
          <w:i/>
        </w:rPr>
        <w:t xml:space="preserve">[Academic Researcher]</w:t>
      </w:r>
    </w:p>
    <w:p>
      <w:pPr>
        <w:pStyle w:val="BodyText"/>
      </w:pPr>
      <w:r>
        <w:t xml:space="preserve">, and this specific project framework are protected under the terms of this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2026-07-29T16:25:14Z</dcterms:created>
  <dcterms:modified xsi:type="dcterms:W3CDTF">2026-07-29T16:25:14Z</dcterms:modified>
</cp:coreProperties>
</file>

<file path=docProps/custom.xml><?xml version="1.0" encoding="utf-8"?>
<Properties xmlns="http://schemas.openxmlformats.org/officeDocument/2006/custom-properties" xmlns:vt="http://schemas.openxmlformats.org/officeDocument/2006/docPropsVTypes"/>
</file>