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and</w:t>
      </w:r>
      <w:r>
        <w:t xml:space="preserve"> </w:t>
      </w:r>
      <w:r>
        <w:t xml:space="preserve">Compliance</w:t>
      </w:r>
      <w:r>
        <w:t xml:space="preserve"> </w:t>
      </w:r>
      <w:r>
        <w:t xml:space="preserve">Services</w:t>
      </w:r>
      <w:r>
        <w:t xml:space="preserve"> </w:t>
      </w:r>
      <w:r>
        <w:t xml:space="preserve">for</w:t>
      </w:r>
      <w:r>
        <w:t xml:space="preserve"> </w:t>
      </w:r>
      <w:r>
        <w:t xml:space="preserve">Accountant</w:t>
      </w:r>
      <w:r>
        <w:t xml:space="preserve"> </w:t>
      </w:r>
      <w:r>
        <w:t xml:space="preserve">Operations</w:t>
      </w:r>
      <w:r>
        <w:t xml:space="preserve"> </w:t>
      </w:r>
      <w:r>
        <w:t xml:space="preserve">in</w:t>
      </w:r>
      <w:r>
        <w:t xml:space="preserve"> </w:t>
      </w:r>
      <w:r>
        <w:t xml:space="preserve">Belgium</w:t>
      </w:r>
      <w:r>
        <w:t xml:space="preserve"> </w:t>
      </w:r>
      <w:r>
        <w:t xml:space="preserve">Brussels</w:t>
      </w:r>
    </w:p>
    <w:bookmarkStart w:id="28" w:name="X38bfc293fbf4c1751aaf9b4dbdc8877023f52f4"/>
    <w:p>
      <w:pPr>
        <w:pStyle w:val="Heading1"/>
      </w:pPr>
      <w:r>
        <w:t xml:space="preserve">Project Report: Strategic Financial Management and Compliance Services for Accountant Operations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p>
    <w:p>
      <w:pPr>
        <w:pStyle w:val="BodyText"/>
      </w:pPr>
      <w:r>
        <w:t xml:space="preserve">Project Management Office</w:t>
      </w:r>
      <w:r>
        <w:br/>
      </w:r>
    </w:p>
    <w:p>
      <w:pPr>
        <w:pStyle w:val="BodyText"/>
      </w:pPr>
      <w:r>
        <w:t xml:space="preserve">: Comprehensive Analysis of Accountant Roles and Compliance Frameworks within the Belgium Brussels Jurisdiction</w:t>
      </w:r>
    </w:p>
    <w:bookmarkStart w:id="20" w:name="introduction"/>
    <w:p>
      <w:pPr>
        <w:pStyle w:val="Heading2"/>
      </w:pPr>
      <w:r>
        <w:t xml:space="preserve">1. Introduction</w:t>
      </w:r>
    </w:p>
    <w:p>
      <w:pPr>
        <w:pStyle w:val="FirstParagraph"/>
      </w:pPr>
      <w:r>
        <w:t xml:space="preserve">The financial landscape in modern Europe is characterized by increasing complexity, stringent regulatory requirements, and a demand for strategic financial insight. This</w:t>
      </w:r>
      <w:r>
        <w:t xml:space="preserve"> </w:t>
      </w:r>
      <w:r>
        <w:rPr>
          <w:bCs/>
          <w:b/>
        </w:rPr>
        <w:t xml:space="preserve">Project Report</w:t>
      </w:r>
      <w:r>
        <w:t xml:space="preserve"> </w:t>
      </w:r>
      <w:r>
        <w:t xml:space="preserve">serves as a comprehensive documentation of the operational, legal, and strategic challenges faced by professionals functioning as an</w:t>
      </w:r>
      <w:r>
        <w:t xml:space="preserve"> </w:t>
      </w:r>
      <w:r>
        <w:rPr>
          <w:bCs/>
          <w:b/>
        </w:rPr>
        <w:t xml:space="preserve">Accountant</w:t>
      </w:r>
      <w:r>
        <w:t xml:space="preserve">. Specifically, this document focuses on the unique environment of Brussels in Belgium. As the de facto capital of the European Union, Brussels presents a distinct set of economic dynamics that differ significantly from other Belgian regions or international financial hubs. The purpose of this report is to outline how an</w:t>
      </w:r>
      <w:r>
        <w:t xml:space="preserve"> </w:t>
      </w:r>
      <w:r>
        <w:rPr>
          <w:bCs/>
          <w:b/>
        </w:rPr>
        <w:t xml:space="preserve">Accountant</w:t>
      </w:r>
      <w:r>
        <w:t xml:space="preserve"> </w:t>
      </w:r>
      <w:r>
        <w:t xml:space="preserve">must adapt their practices to meet the specific demands of doing business in</w:t>
      </w:r>
      <w:r>
        <w:t xml:space="preserve"> </w:t>
      </w:r>
      <w:r>
        <w:rPr>
          <w:bCs/>
          <w:b/>
        </w:rPr>
        <w:t xml:space="preserve">Belgium Brussels</w:t>
      </w:r>
      <w:r>
        <w:t xml:space="preserve">, ensuring compliance with local tax laws, EU regulations, and corporate governance standards.</w:t>
      </w:r>
    </w:p>
    <w:bookmarkEnd w:id="20"/>
    <w:bookmarkStart w:id="21" w:name="the-unique-context-of-belgium-brussels"/>
    <w:p>
      <w:pPr>
        <w:pStyle w:val="Heading2"/>
      </w:pPr>
      <w:r>
        <w:t xml:space="preserve">2. The Unique Context of Belgium Brussels</w:t>
      </w:r>
    </w:p>
    <w:p>
      <w:pPr>
        <w:pStyle w:val="FirstParagraph"/>
      </w:pPr>
      <w:r>
        <w:t xml:space="preserve">To understand the role of an</w:t>
      </w:r>
      <w:r>
        <w:t xml:space="preserve"> </w:t>
      </w:r>
      <w:r>
        <w:rPr>
          <w:bCs/>
          <w:b/>
        </w:rPr>
        <w:t xml:space="preserve">Accountant</w:t>
      </w:r>
      <w:r>
        <w:t xml:space="preserve"> </w:t>
      </w:r>
      <w:r>
        <w:t xml:space="preserve">in this specific region, one must first appreciate the economic ecosystem of</w:t>
      </w:r>
      <w:r>
        <w:t xml:space="preserve"> </w:t>
      </w:r>
      <w:r>
        <w:rPr>
          <w:bCs/>
          <w:b/>
        </w:rPr>
        <w:t xml:space="preserve">Belgium Brussels</w:t>
      </w:r>
      <w:r>
        <w:t xml:space="preserve">. As a central hub for international institutions, multinational corporations, and NGOs, the city hosts a highly diverse corporate population. This diversity creates a complex web of jurisdictional overlaps. An</w:t>
      </w:r>
      <w:r>
        <w:t xml:space="preserve"> </w:t>
      </w:r>
      <w:r>
        <w:rPr>
          <w:bCs/>
          <w:b/>
        </w:rPr>
        <w:t xml:space="preserve">Accountant</w:t>
      </w:r>
      <w:r>
        <w:t xml:space="preserve"> </w:t>
      </w:r>
      <w:r>
        <w:t xml:space="preserve">operating in</w:t>
      </w:r>
      <w:r>
        <w:t xml:space="preserve"> </w:t>
      </w:r>
      <w:r>
        <w:rPr>
          <w:bCs/>
          <w:b/>
        </w:rPr>
        <w:t xml:space="preserve">Belgium Brussels</w:t>
      </w:r>
      <w:r>
        <w:t xml:space="preserve"> </w:t>
      </w:r>
      <w:r>
        <w:t xml:space="preserve">cannot simply rely on standard Belgian accounting principles; they must navigate the intersection of national law and European Union directives.</w:t>
      </w:r>
      <w:r>
        <w:t xml:space="preserve"> </w:t>
      </w:r>
      <w:r>
        <w:t xml:space="preserve">Furthermore, Brussels is a multilingual environment where French and Dutch are the official administrative languages, though English serves as the lingua franca of business. For an</w:t>
      </w:r>
      <w:r>
        <w:t xml:space="preserve"> </w:t>
      </w:r>
      <w:r>
        <w:rPr>
          <w:bCs/>
          <w:b/>
        </w:rPr>
        <w:t xml:space="preserve">Accountant</w:t>
      </w:r>
      <w:r>
        <w:t xml:space="preserve">, this linguistic diversity impacts not only client communication but also the interpretation of legal documents and tax filings. The report highlights that failure to properly localize financial documentation in</w:t>
      </w:r>
      <w:r>
        <w:t xml:space="preserve"> </w:t>
      </w:r>
      <w:r>
        <w:rPr>
          <w:bCs/>
          <w:b/>
        </w:rPr>
        <w:t xml:space="preserve">Belgium Brussels</w:t>
      </w:r>
      <w:r>
        <w:t xml:space="preserve"> </w:t>
      </w:r>
      <w:r>
        <w:t xml:space="preserve">can lead to significant compliance penalties, underscoring the need for cultural and linguistic competence alongside technical accounting skills.</w:t>
      </w:r>
    </w:p>
    <w:bookmarkEnd w:id="21"/>
    <w:bookmarkStart w:id="22" w:name="regulatory-compliance-and-tax-frameworks"/>
    <w:p>
      <w:pPr>
        <w:pStyle w:val="Heading2"/>
      </w:pPr>
      <w:r>
        <w:t xml:space="preserve">3. Regulatory Compliance and Tax Frameworks</w:t>
      </w:r>
    </w:p>
    <w:p>
      <w:pPr>
        <w:pStyle w:val="FirstParagraph"/>
      </w:pPr>
      <w:r>
        <w:t xml:space="preserve">One of the primary responsibilities outlined in this</w:t>
      </w:r>
      <w:r>
        <w:t xml:space="preserve"> </w:t>
      </w:r>
      <w:r>
        <w:rPr>
          <w:bCs/>
          <w:b/>
        </w:rPr>
        <w:t xml:space="preserve">Project Report</w:t>
      </w:r>
      <w:r>
        <w:t xml:space="preserve"> </w:t>
      </w:r>
      <w:r>
        <w:t xml:space="preserve">is the adherence to rigorous regulatory frameworks. In Belgium, corporate tax laws are among the most complex in Europe. For an</w:t>
      </w:r>
      <w:r>
        <w:t xml:space="preserve"> </w:t>
      </w:r>
      <w:r>
        <w:rPr>
          <w:bCs/>
          <w:b/>
        </w:rPr>
        <w:t xml:space="preserve">Accountant</w:t>
      </w:r>
      <w:r>
        <w:t xml:space="preserve">, staying abreast of changes in Belgian fiscal policy is not optional but essential. The report details several key areas where compliance is critical:</w:t>
      </w:r>
    </w:p>
    <w:p>
      <w:pPr>
        <w:numPr>
          <w:ilvl w:val="0"/>
          <w:numId w:val="1001"/>
        </w:numPr>
        <w:pStyle w:val="Compact"/>
      </w:pPr>
      <w:r>
        <w:rPr>
          <w:bCs/>
          <w:b/>
        </w:rPr>
        <w:t xml:space="preserve">Vat Regulations:</w:t>
      </w:r>
      <w:r>
        <w:t xml:space="preserve"> </w:t>
      </w:r>
      <w:r>
        <w:t xml:space="preserve">Value Added Tax (VAT) rules in Belgium have undergone numerous revisions. An</w:t>
      </w:r>
      <w:r>
        <w:t xml:space="preserve"> </w:t>
      </w:r>
      <w:r>
        <w:rPr>
          <w:bCs/>
          <w:b/>
        </w:rPr>
        <w:t xml:space="preserve">Accountant</w:t>
      </w:r>
      <w:r>
        <w:t xml:space="preserve"> </w:t>
      </w:r>
      <w:r>
        <w:t xml:space="preserve">must ensure that all transactions originating from or directed towards</w:t>
      </w:r>
      <w:r>
        <w:t xml:space="preserve"> </w:t>
      </w:r>
      <w:r>
        <w:rPr>
          <w:bCs/>
          <w:b/>
        </w:rPr>
        <w:t xml:space="preserve">Belgium Brussels</w:t>
      </w:r>
      <w:r>
        <w:t xml:space="preserve"> </w:t>
      </w:r>
      <w:r>
        <w:t xml:space="preserve">are correctly classified, particularly regarding cross-border services within the EU.</w:t>
      </w:r>
    </w:p>
    <w:p>
      <w:pPr>
        <w:numPr>
          <w:ilvl w:val="0"/>
          <w:numId w:val="1001"/>
        </w:numPr>
        <w:pStyle w:val="Compact"/>
      </w:pPr>
      <w:r>
        <w:rPr>
          <w:bCs/>
          <w:b/>
        </w:rPr>
        <w:t xml:space="preserve">Cross-Border Transactions:</w:t>
      </w:r>
      <w:r>
        <w:t xml:space="preserve"> </w:t>
      </w:r>
      <w:r>
        <w:t xml:space="preserve">Given Brussels' status as an international hub, many businesses engage in significant cross-border trade. The</w:t>
      </w:r>
      <w:r>
        <w:t xml:space="preserve"> </w:t>
      </w:r>
      <w:r>
        <w:rPr>
          <w:bCs/>
          <w:b/>
        </w:rPr>
        <w:t xml:space="preserve">Accountant</w:t>
      </w:r>
    </w:p>
    <w:p>
      <w:pPr>
        <w:numPr>
          <w:ilvl w:val="0"/>
          <w:numId w:val="1001"/>
        </w:numPr>
        <w:pStyle w:val="Compact"/>
      </w:pPr>
      <w:r>
        <w:rPr>
          <w:bCs/>
          <w:b/>
        </w:rPr>
        <w:t xml:space="preserve">Audit Requirements:</w:t>
      </w:r>
      <w:r>
        <w:t xml:space="preserve"> </w:t>
      </w:r>
      <w:r>
        <w:t xml:space="preserve">Companies registered in Brussels often fall under mandatory audit requirements depending on their size and sector. The report emphasizes the importance of transparency and accuracy in financial reporting to facilitate smooth audits.</w:t>
      </w:r>
    </w:p>
    <w:p>
      <w:pPr>
        <w:pStyle w:val="FirstParagraph"/>
      </w:pPr>
      <w:r>
        <w:t xml:space="preserve">This</w:t>
      </w:r>
      <w:r>
        <w:t xml:space="preserve"> </w:t>
      </w:r>
      <w:r>
        <w:rPr>
          <w:bCs/>
          <w:b/>
        </w:rPr>
        <w:t xml:space="preserve">Project Report</w:t>
      </w:r>
      <w:r>
        <w:t xml:space="preserve"> </w:t>
      </w:r>
      <w:r>
        <w:t xml:space="preserve">argues that proactive compliance strategies are more cost-effective than reactive measures. By embedding compliance into daily operations, an</w:t>
      </w:r>
      <w:r>
        <w:t xml:space="preserve"> </w:t>
      </w:r>
      <w:r>
        <w:rPr>
          <w:bCs/>
          <w:b/>
        </w:rPr>
        <w:t xml:space="preserve">Accountant</w:t>
      </w:r>
      <w:r>
        <w:t xml:space="preserve"> </w:t>
      </w:r>
      <w:r>
        <w:t xml:space="preserve">protects the business interests of clients located in</w:t>
      </w:r>
      <w:r>
        <w:t xml:space="preserve"> </w:t>
      </w:r>
      <w:r>
        <w:rPr>
          <w:bCs/>
          <w:b/>
        </w:rPr>
        <w:t xml:space="preserve">Belgium Brussels</w:t>
      </w:r>
      <w:r>
        <w:t xml:space="preserve">.</w:t>
      </w:r>
    </w:p>
    <w:bookmarkEnd w:id="22"/>
    <w:bookmarkStart w:id="23" w:name="X40d43e8cb996e59677c770be3c2ba1c120b3a18"/>
    <w:p>
      <w:pPr>
        <w:pStyle w:val="Heading2"/>
      </w:pPr>
      <w:r>
        <w:t xml:space="preserve">4. Technological Integration and Digital Transformation</w:t>
      </w:r>
    </w:p>
    <w:p>
      <w:pPr>
        <w:pStyle w:val="FirstParagraph"/>
      </w:pPr>
      <w:r>
        <w:t xml:space="preserve">The role of the modern</w:t>
      </w:r>
      <w:r>
        <w:t xml:space="preserve"> </w:t>
      </w:r>
      <w:r>
        <w:rPr>
          <w:bCs/>
          <w:b/>
        </w:rPr>
        <w:t xml:space="preserve">Accountant</w:t>
      </w:r>
    </w:p>
    <w:p>
      <w:pPr>
        <w:pStyle w:val="BodyText"/>
      </w:pPr>
      <w:r>
        <w:t xml:space="preserve">is evolving rapidly due to digital transformation. This section of the report examines how technology impacts accounting practices in Brussels. The Belgian government has been pushing for increased digitalization in tax administration through platforms like MyMinFin. For an</w:t>
      </w:r>
      <w:r>
        <w:t xml:space="preserve"> </w:t>
      </w:r>
      <w:r>
        <w:rPr>
          <w:bCs/>
          <w:b/>
        </w:rPr>
        <w:t xml:space="preserve">Accountant</w:t>
      </w:r>
      <w:r>
        <w:t xml:space="preserve">, proficiency with these digital tools is mandatory.</w:t>
      </w:r>
    </w:p>
    <w:p>
      <w:pPr>
        <w:pStyle w:val="BodyText"/>
      </w:pPr>
      <w:r>
        <w:t xml:space="preserve">In</w:t>
      </w:r>
    </w:p>
    <w:p>
      <w:pPr>
        <w:pStyle w:val="BodyText"/>
      </w:pPr>
      <w:r>
        <w:t xml:space="preserve">Belgium Brussels,</w:t>
      </w:r>
      <w:r>
        <w:t xml:space="preserve">where startups and tech firms are prevalent, there is a growing demand for real-time financial reporting. Traditional quarterly or annual reporting models are becoming obsolete. The</w:t>
      </w:r>
      <w:r>
        <w:t xml:space="preserve"> </w:t>
      </w:r>
      <w:r>
        <w:rPr>
          <w:bCs/>
          <w:b/>
        </w:rPr>
        <w:t xml:space="preserve">Project Report</w:t>
      </w:r>
      <w:r>
        <w:t xml:space="preserve">Accountant</w:t>
      </w:r>
      <w:r>
        <w:t xml:space="preserve">,</w:t>
      </w:r>
    </w:p>
    <w:p>
      <w:pPr>
        <w:pStyle w:val="BodyText"/>
      </w:pPr>
      <w:r>
        <w:t xml:space="preserve">to provide timely insights to stakeholders, enhancing the value proposition of their services within the competitive Brussels market.</w:t>
      </w:r>
    </w:p>
    <w:bookmarkEnd w:id="23"/>
    <w:bookmarkStart w:id="24" w:name="strategic-financial-advisory-roles"/>
    <w:p>
      <w:pPr>
        <w:pStyle w:val="Heading2"/>
      </w:pPr>
      <w:r>
        <w:t xml:space="preserve">5. Strategic Financial Advisory Roles</w:t>
      </w:r>
    </w:p>
    <w:p>
      <w:pPr>
        <w:pStyle w:val="FirstParagraph"/>
      </w:pPr>
      <w:r>
        <w:t xml:space="preserve">Beyond compliance and technical accounting, this</w:t>
      </w:r>
      <w:r>
        <w:t xml:space="preserve"> </w:t>
      </w:r>
      <w:r>
        <w:rPr>
          <w:bCs/>
          <w:b/>
        </w:rPr>
        <w:t xml:space="preserve">Project Report</w:t>
      </w:r>
    </w:p>
    <w:p>
      <w:pPr>
        <w:pStyle w:val="BodyText"/>
      </w:pPr>
      <w:r>
        <w:t xml:space="preserve">highlights the strategic advisory role of an Accountant in Brussels. Businesses in this region face unique challenges such as high operational costs and intense competition for talent. An effective</w:t>
      </w:r>
      <w:r>
        <w:t xml:space="preserve"> </w:t>
      </w:r>
      <w:r>
        <w:rPr>
          <w:bCs/>
          <w:b/>
        </w:rPr>
        <w:t xml:space="preserve">Accountant</w:t>
      </w:r>
    </w:p>
    <w:p>
      <w:pPr>
        <w:pStyle w:val="BodyText"/>
      </w:pPr>
      <w:r>
        <w:t xml:space="preserve">must act as a strategic partner, helping organizations optimize their financial structures to remain competitive.</w:t>
      </w:r>
    </w:p>
    <w:p>
      <w:pPr>
        <w:pStyle w:val="BodyText"/>
      </w:pPr>
      <w:r>
        <w:t xml:space="preserve">In the context of</w:t>
      </w:r>
    </w:p>
    <w:p>
      <w:pPr>
        <w:pStyle w:val="BodyText"/>
      </w:pPr>
      <w:r>
        <w:t xml:space="preserve">Belgium Brussels,</w:t>
      </w:r>
    </w:p>
    <w:p>
      <w:pPr>
        <w:pStyle w:val="BodyText"/>
      </w:pPr>
      <w:r>
        <w:t xml:space="preserve">this involves advising on incentive schemes for expatriate employees, managing currency risks for multinational operations, and identifying grants or subsidies available through EU or local Belgian programs. The report provides case studies demonstrating how an</w:t>
      </w:r>
    </w:p>
    <w:p>
      <w:pPr>
        <w:pStyle w:val="BodyText"/>
      </w:pPr>
      <w:r>
        <w:t xml:space="preserve">Accountant</w:t>
      </w:r>
    </w:p>
    <w:p>
      <w:pPr>
        <w:pStyle w:val="BodyText"/>
      </w:pPr>
      <w:r>
        <w:t xml:space="preserve">who understands the local landscape of Brussels can directly contribute to a company's bottom line through strategic financial planning.</w:t>
      </w:r>
    </w:p>
    <w:bookmarkEnd w:id="24"/>
    <w:bookmarkStart w:id="25" w:name="X2e3a971ce519929cc74df70108166247bfbb09a"/>
    <w:p>
      <w:pPr>
        <w:pStyle w:val="Heading2"/>
      </w:pPr>
      <w:r>
        <w:t xml:space="preserve">6. Ethical Standards and Professional Integrity</w:t>
      </w:r>
    </w:p>
    <w:p>
      <w:pPr>
        <w:pStyle w:val="FirstParagraph"/>
      </w:pPr>
      <w:r>
        <w:t xml:space="preserve">Trust is the cornerstone of the accounting profession. This</w:t>
      </w:r>
      <w:r>
        <w:t xml:space="preserve"> </w:t>
      </w:r>
      <w:r>
        <w:rPr>
          <w:bCs/>
          <w:b/>
        </w:rPr>
        <w:t xml:space="preserve">Project Report</w:t>
      </w:r>
    </w:p>
    <w:p>
      <w:pPr>
        <w:pStyle w:val="BodyText"/>
      </w:pPr>
      <w:r>
        <w:t xml:space="preserve">underscores the importance of ethical standards in maintaining professional integrity. Accountants operating in Belgium are governed by strict codes of conduct enforced by professional bodies such as l'Ordre des Experts Comptables and l'Institut des Experts Comptables. For an</w:t>
      </w:r>
    </w:p>
    <w:p>
      <w:pPr>
        <w:pStyle w:val="BodyText"/>
      </w:pPr>
      <w:r>
        <w:t xml:space="preserve">Accountant</w:t>
      </w:r>
    </w:p>
    <w:p>
      <w:pPr>
        <w:pStyle w:val="BodyText"/>
      </w:pPr>
      <w:r>
        <w:t xml:space="preserve">based in Brussels, maintaining independence and objectivity is paramount, especially when dealing with politically connected entities or large international organizations headquartered in the city.</w:t>
      </w:r>
    </w:p>
    <w:p>
      <w:pPr>
        <w:pStyle w:val="BodyText"/>
      </w:pPr>
      <w:r>
        <w:t xml:space="preserve">The report also addresses conflict of interest management. Due to the interconnected nature of business in Brussels, an</w:t>
      </w:r>
    </w:p>
    <w:p>
      <w:pPr>
        <w:pStyle w:val="BodyText"/>
      </w:pPr>
      <w:r>
        <w:t xml:space="preserve">Accountant</w:t>
      </w:r>
    </w:p>
    <w:p>
      <w:pPr>
        <w:pStyle w:val="BodyText"/>
      </w:pPr>
      <w:r>
        <w:t xml:space="preserve">must be vigilant about potential conflicts that may arise from serving multiple clients with competing interests. Adherence to these ethical guidelines is not only a legal requirement but also a critical factor in building long-term client relationships.</w:t>
      </w:r>
    </w:p>
    <w:bookmarkEnd w:id="25"/>
    <w:bookmarkStart w:id="26" w:name="challenges-and-future-outlook"/>
    <w:p>
      <w:pPr>
        <w:pStyle w:val="Heading2"/>
      </w:pPr>
      <w:r>
        <w:t xml:space="preserve">7. Challenges and Future Outlook</w:t>
      </w:r>
    </w:p>
    <w:p>
      <w:pPr>
        <w:pStyle w:val="FirstParagraph"/>
      </w:pPr>
      <w:r>
        <w:t xml:space="preserve">While the opportunities for an</w:t>
      </w:r>
      <w:r>
        <w:t xml:space="preserve"> </w:t>
      </w:r>
      <w:r>
        <w:rPr>
          <w:bCs/>
          <w:b/>
        </w:rPr>
        <w:t xml:space="preserve">Accountant</w:t>
      </w:r>
    </w:p>
    <w:p>
      <w:pPr>
        <w:pStyle w:val="BodyText"/>
      </w:pPr>
      <w:r>
        <w:t xml:space="preserve">in Brussels are significant, they are accompanied by challenges. The report identifies several future trends that will impact the profession:</w:t>
      </w:r>
    </w:p>
    <w:p>
      <w:pPr>
        <w:numPr>
          <w:ilvl w:val="0"/>
          <w:numId w:val="1002"/>
        </w:numPr>
        <w:pStyle w:val="Compact"/>
      </w:pPr>
      <w:r>
        <w:rPr>
          <w:bCs/>
          <w:b/>
        </w:rPr>
        <w:t xml:space="preserve">Sustainability Reporting:</w:t>
      </w:r>
      <w:r>
        <w:t xml:space="preserve"> </w:t>
      </w:r>
      <w:r>
        <w:t xml:space="preserve">With the EU's new Corporate Sustainability Reporting Directive (CSRD), accountants in Belgium must begin integrating non-financial data into their reporting processes.</w:t>
      </w:r>
    </w:p>
    <w:p>
      <w:pPr>
        <w:numPr>
          <w:ilvl w:val="0"/>
          <w:numId w:val="1002"/>
        </w:numPr>
        <w:pStyle w:val="Compact"/>
      </w:pPr>
      <w:r>
        <w:t xml:space="preserve">Talent Shortages:,</w:t>
      </w:r>
    </w:p>
    <w:p>
      <w:pPr>
        <w:numPr>
          <w:ilvl w:val="0"/>
          <w:numId w:val="1000"/>
        </w:numPr>
        <w:pStyle w:val="Compact"/>
      </w:pPr>
      <w:r>
        <w:t xml:space="preserve">There is a growing shortage of qualified accountants in the Brussels region. The report recommends strategies for recruitment and retention to address this gap.</w:t>
      </w:r>
    </w:p>
    <w:p>
      <w:pPr>
        <w:numPr>
          <w:ilvl w:val="0"/>
          <w:numId w:val="1002"/>
        </w:numPr>
        <w:pStyle w:val="Compact"/>
      </w:pPr>
      <w:r>
        <w:t xml:space="preserve">Cybersecurity Risks:,</w:t>
      </w:r>
    </w:p>
    <w:p>
      <w:pPr>
        <w:numPr>
          <w:ilvl w:val="0"/>
          <w:numId w:val="1000"/>
        </w:numPr>
        <w:pStyle w:val="Compact"/>
      </w:pPr>
      <w:r>
        <w:t xml:space="preserve">As financial data becomes increasingly digital, protecting client information is a top priority. Accountants must implement robust cybersecurity measures.</w:t>
      </w:r>
    </w:p>
    <w:bookmarkEnd w:id="26"/>
    <w:bookmarkStart w:id="27" w:name="conclusion"/>
    <w:p>
      <w:pPr>
        <w:pStyle w:val="Heading2"/>
      </w:pPr>
      <w:r>
        <w:t xml:space="preserve">8. Conclusion</w:t>
      </w:r>
    </w:p>
    <w:p>
      <w:pPr>
        <w:pStyle w:val="FirstParagraph"/>
      </w:pPr>
      <w:r>
        <w:t xml:space="preserve">In conclusion, this</w:t>
      </w:r>
      <w:r>
        <w:t xml:space="preserve"> </w:t>
      </w:r>
      <w:r>
        <w:rPr>
          <w:bCs/>
          <w:b/>
        </w:rPr>
        <w:t xml:space="preserve">Project Report</w:t>
      </w:r>
    </w:p>
    <w:p>
      <w:pPr>
        <w:pStyle w:val="BodyText"/>
      </w:pPr>
      <w:r>
        <w:t xml:space="preserve">affirms that the role of an Accountant in Belgium Brussels is multifaceted and critically important. It requires a blend of technical expertise, regulatory knowledge, strategic foresight, and ethical integrity. The unique characteristics of Brussels as a European capital demand that accountants go beyond traditional bookkeeping to become strategic advisors who can navigate complex legal and economic landscapes.</w:t>
      </w:r>
    </w:p>
    <w:p>
      <w:pPr>
        <w:pStyle w:val="BodyText"/>
      </w:pPr>
      <w:r>
        <w:t xml:space="preserve">By adhering to the guidelines and insights presented in this document, professionals acting as an Accountant can ensure compliance, drive efficiency, and add substantial value to their clients in</w:t>
      </w:r>
    </w:p>
    <w:p>
      <w:pPr>
        <w:pStyle w:val="BodyText"/>
      </w:pPr>
      <w:r>
        <w:t xml:space="preserve">Belgium Brussels.</w:t>
      </w:r>
    </w:p>
    <w:p>
      <w:pPr>
        <w:pStyle w:val="BodyText"/>
      </w:pPr>
      <w:r>
        <w:t xml:space="preserve">The future of accounting in this region lies in adaptability, technological innovation, and a deep understanding of the local regulatory environment. Stakeholders are encouraged to implement these recommendations to foster resilience and growth within their financial operations.</w:t>
      </w:r>
    </w:p>
    <w:p>
      <w:pPr>
        <w:pStyle w:val="BodyText"/>
      </w:pPr>
      <w:r>
        <w:rPr>
          <w:bCs/>
          <w:b/>
        </w:rPr>
        <w:t xml:space="preserve">Final Note:</w:t>
      </w:r>
      <w:r>
        <w:br/>
      </w:r>
      <w:r>
        <w:t xml:space="preserve">This document serves as a foundational reference for all stakeholders involved in financial management within the Brussels region. Continuous updates will be required as regulatory frameworks in Belgium and the EU continue to evolve.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and Compliance Services for Accountant Operations in Belgium Brussels</dc:title>
  <dc:creator/>
  <dc:language>en</dc:language>
  <cp:keywords/>
  <dcterms:created xsi:type="dcterms:W3CDTF">2026-07-29T05:52:03Z</dcterms:created>
  <dcterms:modified xsi:type="dcterms:W3CDTF">2026-07-29T05:52:03Z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