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Accounting</w:t>
      </w:r>
      <w:r>
        <w:t xml:space="preserve"> </w:t>
      </w:r>
      <w:r>
        <w:t xml:space="preserve">Services</w:t>
      </w:r>
      <w:r>
        <w:t xml:space="preserve"> </w:t>
      </w:r>
      <w:r>
        <w:t xml:space="preserve">in</w:t>
      </w:r>
      <w:r>
        <w:t xml:space="preserve"> </w:t>
      </w:r>
      <w:r>
        <w:t xml:space="preserve">Iran</w:t>
      </w:r>
      <w:r>
        <w:t xml:space="preserve"> </w:t>
      </w:r>
      <w:r>
        <w:t xml:space="preserve">Tehran</w:t>
      </w:r>
    </w:p>
    <w:bookmarkStart w:id="35" w:name="X5d8b406831f1e322319e50079509a77b4b6be46"/>
    <w:p>
      <w:pPr>
        <w:pStyle w:val="Heading1"/>
      </w:pPr>
      <w:r>
        <w:rPr>
          <w:bCs/>
          <w:b/>
        </w:rPr>
        <w:t xml:space="preserve">Project Report: Professional Accounting Services and Compliance Framework for Iran Tehran</w:t>
      </w:r>
    </w:p>
    <w:p>
      <w:pPr>
        <w:pStyle w:val="FirstParagraph"/>
      </w:pPr>
      <w:r>
        <w:rPr>
          <w:bCs/>
          <w:b/>
        </w:rPr>
        <w:t xml:space="preserve">Note:</w:t>
      </w:r>
      <w:r>
        <w:t xml:space="preserve">This document is written strictly in English as per instructions. It focuses on the operational, regulatory, and financial landscape of an Accountant operating within the specific context of Iran Tehran.</w:t>
      </w:r>
    </w:p>
    <w:bookmarkStart w:id="20" w:name="executive-summary"/>
    <w:p>
      <w:pPr>
        <w:pStyle w:val="Heading2"/>
      </w:pPr>
      <w:r>
        <w:rPr>
          <w:bCs/>
          <w:b/>
        </w:rPr>
        <w:t xml:space="preserve">1. Executive Summary</w:t>
      </w:r>
    </w:p>
    <w:p>
      <w:pPr>
        <w:pStyle w:val="FirstParagraph"/>
      </w:pPr>
      <w:r>
        <w:t xml:space="preserve">The establishment of a robust accounting framework in</w:t>
      </w:r>
      <w:r>
        <w:t xml:space="preserve"> </w:t>
      </w:r>
      <w:r>
        <w:rPr>
          <w:bCs/>
          <w:b/>
        </w:rPr>
        <w:t xml:space="preserve">Iran Tehran</w:t>
      </w:r>
      <w:r>
        <w:t xml:space="preserve"> </w:t>
      </w:r>
      <w:r>
        <w:t xml:space="preserve">requires a nuanced understanding of local fiscal regulations, international sanctions compliance, and the unique economic dynamics of the region. This Project Report outlines the critical responsibilities and strategic imperatives for an Accountant operating in</w:t>
      </w:r>
      <w:r>
        <w:t xml:space="preserve"> </w:t>
      </w:r>
      <w:r>
        <w:rPr>
          <w:bCs/>
          <w:b/>
        </w:rPr>
        <w:t xml:space="preserve">Iran Tehran</w:t>
      </w:r>
      <w:r>
        <w:t xml:space="preserve">. The primary objective is to ensure financial integrity, regulatory compliance with Iranian tax laws, and accurate reporting amidst a complex global financial environment.</w:t>
      </w:r>
    </w:p>
    <w:p>
      <w:pPr>
        <w:pStyle w:val="BodyText"/>
      </w:pPr>
      <w:r>
        <w:t xml:space="preserve">The role of an Accountant here extends beyond traditional bookkeeping; it involves navigating the intersection of domestic law and international banking restrictions. For any business entity or individual investor operating in</w:t>
      </w:r>
      <w:r>
        <w:t xml:space="preserve"> </w:t>
      </w:r>
      <w:r>
        <w:rPr>
          <w:bCs/>
          <w:b/>
        </w:rPr>
        <w:t xml:space="preserve">Iran Tehran</w:t>
      </w:r>
      <w:r>
        <w:t xml:space="preserve">, the Accountant serves as the guardian of fiscal transparency, ensuring that all transactions are documented according to the standards set by the Ministry of Cooperatives, Labour, and Social Welfare and the Iranian National Tax Administration.</w:t>
      </w:r>
    </w:p>
    <w:bookmarkEnd w:id="20"/>
    <w:bookmarkStart w:id="24" w:name="regulatory-environment-in-iran-tehran"/>
    <w:p>
      <w:pPr>
        <w:pStyle w:val="Heading2"/>
      </w:pPr>
      <w:r>
        <w:rPr>
          <w:bCs/>
          <w:b/>
        </w:rPr>
        <w:t xml:space="preserve">2. Regulatory Environment in Iran Tehran</w:t>
      </w:r>
    </w:p>
    <w:p>
      <w:pPr>
        <w:pStyle w:val="FirstParagraph"/>
      </w:pPr>
      <w:r>
        <w:t xml:space="preserve">An Accountant based in</w:t>
      </w:r>
      <w:r>
        <w:t xml:space="preserve"> </w:t>
      </w:r>
      <w:r>
        <w:rPr>
          <w:bCs/>
          <w:b/>
        </w:rPr>
        <w:t xml:space="preserve">Iran Tehran</w:t>
      </w:r>
      <w:r>
        <w:t xml:space="preserve"> </w:t>
      </w:r>
      <w:r>
        <w:t xml:space="preserve">must possess deep knowledge of the legislative framework governing financial activities. The tax system in</w:t>
      </w:r>
    </w:p>
    <w:p>
      <w:pPr>
        <w:pStyle w:val="BodyText"/>
      </w:pPr>
      <w:r>
        <w:t xml:space="preserve">Iran Tehran is governed by direct and indirect tax laws, overseen by the National Tax Administration. Key among these are:</w:t>
      </w:r>
    </w:p>
    <w:bookmarkStart w:id="21" w:name="a-direct-taxes-law-dtl"/>
    <w:p>
      <w:pPr>
        <w:pStyle w:val="Heading3"/>
      </w:pPr>
      <w:r>
        <w:rPr>
          <w:bCs/>
          <w:b/>
        </w:rPr>
        <w:t xml:space="preserve">a) Direct Taxes Law (DTL)</w:t>
      </w:r>
    </w:p>
    <w:p>
      <w:pPr>
        <w:pStyle w:val="FirstParagraph"/>
      </w:pPr>
      <w:r>
        <w:t xml:space="preserve">The DTL dictates corporate income taxes, personal income taxes, and withholding obligations. An Accountant in</w:t>
      </w:r>
    </w:p>
    <w:p>
      <w:pPr>
        <w:pStyle w:val="BodyText"/>
      </w:pPr>
      <w:r>
        <w:t xml:space="preserve">Iran Tehran must ensure that all entities file accurate annual tax returns by the statutory deadline. Failure to comply can result in significant penalties, which are strictly enforced in the capital region.</w:t>
      </w:r>
    </w:p>
    <w:bookmarkEnd w:id="21"/>
    <w:bookmarkStart w:id="22" w:name="b-value-added-tax-vat"/>
    <w:p>
      <w:pPr>
        <w:pStyle w:val="Heading3"/>
      </w:pPr>
      <w:r>
        <w:rPr>
          <w:bCs/>
          <w:b/>
        </w:rPr>
        <w:t xml:space="preserve">b) Value Added Tax (VAT)</w:t>
      </w:r>
    </w:p>
    <w:p>
      <w:pPr>
        <w:pStyle w:val="FirstParagraph"/>
      </w:pPr>
      <w:r>
        <w:t xml:space="preserve">The implementation of VAT has been a pivotal shift in Iran's fiscal policy. The Accountant is responsible for calculating, collecting, and remitting VAT on taxable goods and services. In</w:t>
      </w:r>
    </w:p>
    <w:p>
      <w:pPr>
        <w:pStyle w:val="BodyText"/>
      </w:pPr>
      <w:r>
        <w:t xml:space="preserve">Iran Tehran, where commercial activity is dense, the accuracy of VAT reporting is scrutinized heavily to prevent revenue leakage.</w:t>
      </w:r>
    </w:p>
    <w:bookmarkEnd w:id="22"/>
    <w:bookmarkStart w:id="23" w:name="X4e0d64c6e064abc50d3bc4d567b02e420c6230e"/>
    <w:p>
      <w:pPr>
        <w:pStyle w:val="Heading3"/>
      </w:pPr>
      <w:r>
        <w:rPr>
          <w:bCs/>
          <w:b/>
        </w:rPr>
        <w:t xml:space="preserve">c) Social Security Organization (SSO) Compliance</w:t>
      </w:r>
    </w:p>
    <w:p>
      <w:pPr>
        <w:pStyle w:val="FirstParagraph"/>
      </w:pPr>
      <w:r>
        <w:t xml:space="preserve">Beyond tax authorities, the Accountant must manage contributions to the SSO. This involves calculating monthly salaries and determining the employer’s portion of social security premiums. In</w:t>
      </w:r>
    </w:p>
    <w:p>
      <w:pPr>
        <w:pStyle w:val="BodyText"/>
      </w:pPr>
      <w:r>
        <w:t xml:space="preserve">Iran Tehran, labor laws are rigorous, and non-compliance with SSO regulations can lead to operational halts or legal disputes.</w:t>
      </w:r>
    </w:p>
    <w:bookmarkEnd w:id="23"/>
    <w:bookmarkEnd w:id="24"/>
    <w:bookmarkStart w:id="28" w:name="X389556c41b82479f6bc8f374b344572f7377021"/>
    <w:p>
      <w:pPr>
        <w:pStyle w:val="Heading2"/>
      </w:pPr>
      <w:r>
        <w:rPr>
          <w:bCs/>
          <w:b/>
        </w:rPr>
        <w:t xml:space="preserve">3. Challenges Posed by International Sanctions</w:t>
      </w:r>
    </w:p>
    <w:p>
      <w:pPr>
        <w:pStyle w:val="FirstParagraph"/>
      </w:pPr>
      <w:r>
        <w:t xml:space="preserve">The most distinct challenge for an Accountant in</w:t>
      </w:r>
    </w:p>
    <w:p>
      <w:pPr>
        <w:pStyle w:val="BodyText"/>
      </w:pPr>
      <w:r>
        <w:t xml:space="preserve">Iran Tehran, compared to other global regions, is the impact of international sanctions. These sanctions affect banking channels, currency exchange mechanisms, and cross-border transactions.</w:t>
      </w:r>
    </w:p>
    <w:bookmarkStart w:id="25" w:name="a-currency-fluctuation-and-valuation"/>
    <w:p>
      <w:pPr>
        <w:pStyle w:val="Heading3"/>
      </w:pPr>
      <w:r>
        <w:rPr>
          <w:bCs/>
          <w:b/>
        </w:rPr>
        <w:t xml:space="preserve">a) Currency Fluctuation and Valuation</w:t>
      </w:r>
    </w:p>
    <w:p>
      <w:pPr>
        <w:pStyle w:val="FirstParagraph"/>
      </w:pPr>
      <w:r>
        <w:t xml:space="preserve">The Iranian Rial (IRR) faces significant volatility against major currencies. An Accountant must employ sophisticated valuation methods to report financial statements accurately. In</w:t>
      </w:r>
    </w:p>
    <w:p>
      <w:pPr>
        <w:pStyle w:val="BodyText"/>
      </w:pPr>
      <w:r>
        <w:t xml:space="preserve">Iran Tehran, multi-tier currency markets exist, requiring the Accountant to determine the appropriate exchange rate for financial reporting purposes in accordance with Central Bank of Iran directives.</w:t>
      </w:r>
    </w:p>
    <w:bookmarkEnd w:id="25"/>
    <w:bookmarkStart w:id="26" w:name="X4af093d03004a2e21a6ad82f8f541d41716e70b"/>
    <w:p>
      <w:pPr>
        <w:pStyle w:val="Heading3"/>
      </w:pPr>
      <w:r>
        <w:rPr>
          <w:bCs/>
          <w:b/>
        </w:rPr>
        <w:t xml:space="preserve">b) Banking Restrictions and Cash Management</w:t>
      </w:r>
    </w:p>
    <w:p>
      <w:pPr>
        <w:pStyle w:val="FirstParagraph"/>
      </w:pPr>
      <w:r>
        <w:t xml:space="preserve">Due to restrictions on international wire transfers (SWIFT), an Accountant in</w:t>
      </w:r>
    </w:p>
    <w:p>
      <w:pPr>
        <w:pStyle w:val="BodyText"/>
      </w:pPr>
      <w:r>
        <w:t xml:space="preserve">Iran Tehran often relies on domestic clearing systems or alternative trade-based financing methods. Cash management becomes critical. The Accountant must maintain meticulous records of all cash flows to ensure that they can be traced and justified during audits, demonstrating that funds are not linked to illicit activities.</w:t>
      </w:r>
    </w:p>
    <w:bookmarkEnd w:id="26"/>
    <w:bookmarkStart w:id="27" w:name="c-due-diligence-and-kyc"/>
    <w:p>
      <w:pPr>
        <w:pStyle w:val="Heading3"/>
      </w:pPr>
      <w:r>
        <w:rPr>
          <w:bCs/>
          <w:b/>
        </w:rPr>
        <w:t xml:space="preserve">c) Due Diligence and KYC</w:t>
      </w:r>
    </w:p>
    <w:p>
      <w:pPr>
        <w:pStyle w:val="FirstParagraph"/>
      </w:pPr>
      <w:r>
        <w:t xml:space="preserve">To protect the business from secondary sanctions, an Accountant must conduct rigorous Know Your Customer (KYC) checks. This is particularly vital for any entity in</w:t>
      </w:r>
    </w:p>
    <w:p>
      <w:pPr>
        <w:pStyle w:val="BodyText"/>
      </w:pPr>
      <w:r>
        <w:t xml:space="preserve">Iran Tehran dealing with foreign partners. The Accountant ensures that no transactions inadvertently involve sanctioned entities or jurisdictions.</w:t>
      </w:r>
    </w:p>
    <w:bookmarkEnd w:id="27"/>
    <w:bookmarkEnd w:id="28"/>
    <w:bookmarkStart w:id="31" w:name="technical-and-digital-transformation"/>
    <w:p>
      <w:pPr>
        <w:pStyle w:val="Heading2"/>
      </w:pPr>
      <w:r>
        <w:rPr>
          <w:bCs/>
          <w:b/>
        </w:rPr>
        <w:t xml:space="preserve">4. Technical and Digital Transformation</w:t>
      </w:r>
    </w:p>
    <w:p>
      <w:pPr>
        <w:pStyle w:val="FirstParagraph"/>
      </w:pPr>
      <w:r>
        <w:t xml:space="preserve">The landscape of accounting in</w:t>
      </w:r>
      <w:r>
        <w:t xml:space="preserve"> </w:t>
      </w:r>
      <w:r>
        <w:rPr>
          <w:bCs/>
          <w:b/>
        </w:rPr>
        <w:t xml:space="preserve">Iran Tehran</w:t>
      </w:r>
    </w:p>
    <w:bookmarkStart w:id="29" w:name="a-electronic-invoicing-e-invoicing"/>
    <w:p>
      <w:pPr>
        <w:pStyle w:val="Heading3"/>
      </w:pPr>
      <w:r>
        <w:rPr>
          <w:bCs/>
          <w:b/>
        </w:rPr>
        <w:t xml:space="preserve">a) Electronic Invoicing (E-Invoicing)</w:t>
      </w:r>
    </w:p>
    <w:p>
      <w:pPr>
        <w:pStyle w:val="FirstParagraph"/>
      </w:pPr>
      <w:r>
        <w:t xml:space="preserve">The introduction of electronic invoicing systems requires an Accountant in</w:t>
      </w:r>
    </w:p>
    <w:p>
      <w:pPr>
        <w:pStyle w:val="BodyText"/>
      </w:pPr>
      <w:r>
        <w:t xml:space="preserve">Iran Tehran to integrate with national tax gateways. This system generates unique codes for invoices, linking them directly to the tax authority’s database. Mastery of this technology is no longer optional but a mandatory skill set for modern Accountants in</w:t>
      </w:r>
    </w:p>
    <w:p>
      <w:pPr>
        <w:pStyle w:val="BodyText"/>
      </w:pPr>
      <w:r>
        <w:t xml:space="preserve">Iran Tehran.</w:t>
      </w:r>
    </w:p>
    <w:bookmarkEnd w:id="29"/>
    <w:bookmarkStart w:id="30" w:name="b-accounting-software-standards"/>
    <w:p>
      <w:pPr>
        <w:pStyle w:val="Heading3"/>
      </w:pPr>
      <w:r>
        <w:rPr>
          <w:bCs/>
          <w:b/>
        </w:rPr>
        <w:t xml:space="preserve">b) Accounting Software Standards</w:t>
      </w:r>
    </w:p>
    <w:p>
      <w:pPr>
        <w:pStyle w:val="FirstParagraph"/>
      </w:pPr>
      <w:r>
        <w:t xml:space="preserve">While international software like SAP or Oracle may face licensing or connectivity issues, local software solutions compliant with Iranian GAAP (Generally Accepted Accounting Principles) are widely used. An Accountant must be proficient in these local systems to ensure seamless data entry and reporting.</w:t>
      </w:r>
    </w:p>
    <w:bookmarkEnd w:id="30"/>
    <w:bookmarkEnd w:id="31"/>
    <w:bookmarkStart w:id="33" w:name="X1851957bd3a4520715e7ae72323d0c2bf991348"/>
    <w:p>
      <w:pPr>
        <w:pStyle w:val="Heading2"/>
      </w:pPr>
      <w:r>
        <w:rPr>
          <w:bCs/>
          <w:b/>
        </w:rPr>
        <w:t xml:space="preserve">5. Strategic Role of the Accountant in Iran Tehran</w:t>
      </w:r>
    </w:p>
    <w:p>
      <w:pPr>
        <w:pStyle w:val="FirstParagraph"/>
      </w:pPr>
      <w:r>
        <w:t xml:space="preserve">The modern Accountant in</w:t>
      </w:r>
      <w:r>
        <w:t xml:space="preserve"> </w:t>
      </w:r>
      <w:r>
        <w:rPr>
          <w:bCs/>
          <w:b/>
        </w:rPr>
        <w:t xml:space="preserve">Iran Tehran</w:t>
      </w:r>
    </w:p>
    <w:p>
      <w:pPr>
        <w:numPr>
          <w:ilvl w:val="0"/>
          <w:numId w:val="1001"/>
        </w:numPr>
        <w:pStyle w:val="Compact"/>
      </w:pPr>
      <w:r>
        <w:rPr>
          <w:bCs/>
          <w:b/>
        </w:rPr>
        <w:t xml:space="preserve">Tax Planning:</w:t>
      </w:r>
      <w:r>
        <w:t xml:space="preserve"> </w:t>
      </w:r>
      <w:r>
        <w:t xml:space="preserve">Structuring business activities to minimize tax liability within the legal framework of</w:t>
      </w:r>
    </w:p>
    <w:p>
      <w:pPr>
        <w:numPr>
          <w:ilvl w:val="0"/>
          <w:numId w:val="1000"/>
        </w:numPr>
        <w:pStyle w:val="Compact"/>
      </w:pPr>
      <w:r>
        <w:t xml:space="preserve">Iran Tehran.</w:t>
      </w:r>
    </w:p>
    <w:p>
      <w:pPr>
        <w:numPr>
          <w:ilvl w:val="0"/>
          <w:numId w:val="1001"/>
        </w:numPr>
        <w:pStyle w:val="Compact"/>
      </w:pPr>
      <w:r>
        <w:rPr>
          <w:bCs/>
          <w:b/>
        </w:rPr>
        <w:t xml:space="preserve">Risk Management:</w:t>
      </w:r>
      <w:r>
        <w:t xml:space="preserve"> </w:t>
      </w:r>
      <w:r>
        <w:t xml:space="preserve">Identifying financial risks associated with currency instability and regulatory changes.</w:t>
      </w:r>
    </w:p>
    <w:p>
      <w:pPr>
        <w:numPr>
          <w:ilvl w:val="0"/>
          <w:numId w:val="1001"/>
        </w:numPr>
        <w:pStyle w:val="Compact"/>
      </w:pPr>
      <w:r>
        <w:rPr>
          <w:bCs/>
          <w:b/>
        </w:rPr>
        <w:t xml:space="preserve">Audit Preparedness:</w:t>
      </w:r>
      <w:r>
        <w:t xml:space="preserve"> </w:t>
      </w:r>
      <w:r>
        <w:t xml:space="preserve">Ensuring that all books are audit-ready at all times, given the aggressive auditing practices of Iranian tax inspectors in the capital.</w:t>
      </w:r>
    </w:p>
    <w:p>
      <w:pPr>
        <w:numPr>
          <w:ilvl w:val="0"/>
          <w:numId w:val="1001"/>
        </w:numPr>
        <w:pStyle w:val="Compact"/>
      </w:pPr>
      <w:r>
        <w:rPr>
          <w:bCs/>
          <w:b/>
        </w:rPr>
        <w:t xml:space="preserve">Budgeting for Volatility:</w:t>
      </w:r>
      <w:r>
        <w:t xml:space="preserve">Iran Tehran.</w:t>
      </w:r>
    </w:p>
    <w:bookmarkStart w:id="32" w:name="a-cultural-and-linguistic-nuances"/>
    <w:p>
      <w:pPr>
        <w:pStyle w:val="Heading3"/>
      </w:pPr>
      <w:r>
        <w:rPr>
          <w:bCs/>
          <w:b/>
        </w:rPr>
        <w:t xml:space="preserve">a) Cultural and Linguistic Nuances</w:t>
      </w:r>
    </w:p>
    <w:p>
      <w:pPr>
        <w:pStyle w:val="FirstParagraph"/>
      </w:pPr>
      <w:r>
        <w:t xml:space="preserve">An Accountant working in</w:t>
      </w:r>
    </w:p>
    <w:p>
      <w:pPr>
        <w:pStyle w:val="BodyText"/>
      </w:pPr>
      <w:r>
        <w:t xml:space="preserve">Iran Tehran must possess strong communication skills. While technical accounting terms are universal, the negotiation with tax officials, banks, and local suppliers requires fluency in Persian (Farsi) and an understanding of local business etiquette. Trust is a paramount commodity in</w:t>
      </w:r>
    </w:p>
    <w:p>
      <w:pPr>
        <w:pStyle w:val="BodyText"/>
      </w:pPr>
      <w:r>
        <w:t xml:space="preserve">Iran Tehran, and the Accountant often serves as the liaison between international stakeholders (if applicable) and local authorities.</w:t>
      </w:r>
    </w:p>
    <w:bookmarkEnd w:id="32"/>
    <w:bookmarkEnd w:id="33"/>
    <w:p>
      <w:pPr>
        <w:pStyle w:val="BodyText"/>
      </w:pPr>
      <w:r>
        <w:t xml:space="preserve">6. Case Scenario: Compliance Audit Preparation</w:t>
      </w:r>
    </w:p>
    <w:p>
      <w:pPr>
        <w:pStyle w:val="BodyText"/>
      </w:pPr>
      <w:r>
        <w:t xml:space="preserve">To illustrate the complexity, consider a hypothetical audit scenario for a manufacturing firm in</w:t>
      </w:r>
    </w:p>
    <w:p>
      <w:pPr>
        <w:pStyle w:val="BodyText"/>
      </w:pPr>
      <w:r>
        <w:t xml:space="preserve">Iran Tehran. The Accountant must prepare:</w:t>
      </w:r>
    </w:p>
    <w:p>
      <w:pPr>
        <w:numPr>
          <w:ilvl w:val="0"/>
          <w:numId w:val="1002"/>
        </w:numPr>
        <w:pStyle w:val="Compact"/>
      </w:pPr>
      <w:r>
        <w:rPr>
          <w:bCs/>
          <w:b/>
        </w:rPr>
        <w:t xml:space="preserve">Tax Reconciliation:</w:t>
      </w:r>
      <w:r>
        <w:t xml:space="preserve"> </w:t>
      </w:r>
      <w:r>
        <w:t xml:space="preserve">Showing the difference between book income and taxable income, adjusting for non-deductible expenses as per Iranian law.</w:t>
      </w:r>
    </w:p>
    <w:p>
      <w:pPr>
        <w:numPr>
          <w:ilvl w:val="0"/>
          <w:numId w:val="1002"/>
        </w:numPr>
        <w:pStyle w:val="Compact"/>
      </w:pPr>
      <w:r>
        <w:rPr>
          <w:bCs/>
          <w:b/>
        </w:rPr>
        <w:t xml:space="preserve">VAT Credit Verification:</w:t>
      </w:r>
      <w:r>
        <w:t xml:space="preserve"> </w:t>
      </w:r>
      <w:r>
        <w:t xml:space="preserve">Ensuring all input VAT credits are supported by valid electronic invoices issued through the national system in</w:t>
      </w:r>
    </w:p>
    <w:p>
      <w:pPr>
        <w:numPr>
          <w:ilvl w:val="0"/>
          <w:numId w:val="1000"/>
        </w:numPr>
        <w:pStyle w:val="Compact"/>
      </w:pPr>
      <w:r>
        <w:t xml:space="preserve">Iran Tehran.</w:t>
      </w:r>
    </w:p>
    <w:p>
      <w:pPr>
        <w:numPr>
          <w:ilvl w:val="0"/>
          <w:numId w:val="1002"/>
        </w:numPr>
        <w:pStyle w:val="Compact"/>
      </w:pPr>
      <w:r>
        <w:rPr>
          <w:bCs/>
          <w:b/>
        </w:rPr>
        <w:t xml:space="preserve">Social Security Clearance:</w:t>
      </w:r>
      <w:r>
        <w:t xml:space="preserve"> </w:t>
      </w:r>
      <w:r>
        <w:t xml:space="preserve">Providing proof that all employees’ social security contributions have been paid up to date, avoiding penalties from the SSO.</w:t>
      </w:r>
    </w:p>
    <w:p>
      <w:pPr>
        <w:numPr>
          <w:ilvl w:val="0"/>
          <w:numId w:val="1002"/>
        </w:numPr>
        <w:pStyle w:val="Compact"/>
      </w:pPr>
      <w:r>
        <w:t xml:space="preserve">Currency Gain/Loss Analysis: Detailing how foreign currency transactions were revalued at year-end based on official Central Bank rates.</w:t>
      </w:r>
    </w:p>
    <w:p>
      <w:pPr>
        <w:pStyle w:val="FirstParagraph"/>
      </w:pPr>
      <w:r>
        <w:t xml:space="preserve">Failure in any of these areas can result in heavy fines for the company and potential legal consequences for the Accountant, underscoring the high-stakes nature of this profession in</w:t>
      </w:r>
    </w:p>
    <w:p>
      <w:pPr>
        <w:pStyle w:val="BodyText"/>
      </w:pPr>
      <w:r>
        <w:t xml:space="preserve">Iran Tehran.</w:t>
      </w:r>
    </w:p>
    <w:bookmarkStart w:id="34" w:name="conclusion-and-recommendations"/>
    <w:p>
      <w:pPr>
        <w:pStyle w:val="Heading2"/>
      </w:pPr>
      <w:r>
        <w:rPr>
          <w:bCs/>
          <w:b/>
        </w:rPr>
        <w:t xml:space="preserve">7. Conclusion and Recommendations</w:t>
      </w:r>
    </w:p>
    <w:p>
      <w:pPr>
        <w:pStyle w:val="FirstParagraph"/>
      </w:pPr>
      <w:r>
        <w:t xml:space="preserve">In conclusion, the role of an Accountant in</w:t>
      </w:r>
    </w:p>
    <w:p>
      <w:pPr>
        <w:pStyle w:val="BodyText"/>
      </w:pPr>
      <w:r>
        <w:t xml:space="preserve">Iran Tehran is both demanding and critical. It requires a blend of traditional accounting expertise, deep knowledge of local Iranian regulations, adaptability to international sanctions realities, and proficiency in digital tax systems.</w:t>
      </w:r>
    </w:p>
    <w:p>
      <w:pPr>
        <w:pStyle w:val="BodyText"/>
      </w:pPr>
      <w:r>
        <w:t xml:space="preserve">Recommendations for Businesses Operating in Iran Tehran:</w:t>
      </w:r>
    </w:p>
    <w:p>
      <w:pPr>
        <w:numPr>
          <w:ilvl w:val="0"/>
          <w:numId w:val="1003"/>
        </w:numPr>
        <w:pStyle w:val="Compact"/>
      </w:pPr>
      <w:r>
        <w:rPr>
          <w:bCs/>
          <w:b/>
        </w:rPr>
        <w:t xml:space="preserve">Hire Local Expertise: Engage Accountants who are native to</w:t>
      </w:r>
      <w:r>
        <w:rPr>
          <w:bCs/>
          <w:b/>
        </w:rPr>
        <w:t xml:space="preserve"> </w:t>
      </w:r>
      <w:r>
        <w:rPr>
          <w:bCs/>
          <w:b/>
          <w:bCs/>
          <w:b/>
        </w:rPr>
        <w:t xml:space="preserve">Iran Tehran</w:t>
      </w:r>
    </w:p>
    <w:p>
      <w:pPr>
        <w:numPr>
          <w:ilvl w:val="0"/>
          <w:numId w:val="1003"/>
        </w:numPr>
        <w:pStyle w:val="Compact"/>
      </w:pPr>
      <w:r>
        <w:rPr>
          <w:bCs/>
          <w:b/>
        </w:rPr>
        <w:t xml:space="preserve">Invest in Training: Continuous professional development for Accountants in</w:t>
      </w:r>
      <w:r>
        <w:rPr>
          <w:bCs/>
          <w:b/>
        </w:rPr>
        <w:t xml:space="preserve"> </w:t>
      </w:r>
      <w:r>
        <w:rPr>
          <w:bCs/>
          <w:b/>
          <w:bCs/>
          <w:b/>
        </w:rPr>
        <w:t xml:space="preserve">Iran Tehran</w:t>
      </w:r>
    </w:p>
    <w:p>
      <w:pPr>
        <w:numPr>
          <w:ilvl w:val="0"/>
          <w:numId w:val="1003"/>
        </w:numPr>
        <w:pStyle w:val="Compact"/>
      </w:pPr>
      <w:r>
        <w:t xml:space="preserve">Risk Mitigation Strategies: Develop robust internal controls to manage currency risk and ensure strict adherence to anti-money laundering (AML) standards, which are increasingly monitored globally.</w:t>
      </w:r>
    </w:p>
    <w:p>
      <w:pPr>
        <w:numPr>
          <w:ilvl w:val="0"/>
          <w:numId w:val="1003"/>
        </w:numPr>
        <w:pStyle w:val="Compact"/>
      </w:pPr>
      <w:r>
        <w:t xml:space="preserve">Technology Adoption:Iran Tehran to reduce manual errors and enhance transparency.</w:t>
      </w:r>
    </w:p>
    <w:p>
      <w:pPr>
        <w:pStyle w:val="FirstParagraph"/>
      </w:pPr>
      <w:r>
        <w:t xml:space="preserve">The Accountant in</w:t>
      </w:r>
    </w:p>
    <w:p>
      <w:pPr>
        <w:pStyle w:val="BodyText"/>
      </w:pPr>
      <w:r>
        <w:t xml:space="preserve">Iran Tehran is the linchpin of financial stability. By adhering to the highest standards of professionalism and compliance, they enable businesses to navigate the complex economic landscape of Iran Tehran successfully. The interplay between local tradition and global constraint makes this a unique field, requiring dedication, precision, and strategic foresight.</w:t>
      </w:r>
    </w:p>
    <w:bookmarkEnd w:id="34"/>
    <w:p>
      <w:pPr>
        <w:pStyle w:val="BodyText"/>
      </w:pPr>
      <w:r>
        <w:rPr>
          <w:iCs/>
          <w:i/>
        </w:rPr>
        <w:t xml:space="preserve">End of Project Report</w:t>
      </w:r>
    </w:p>
    <w:p>
      <w:pPr>
        <w:pStyle w:val="BodyText"/>
      </w:pPr>
      <w:r>
        <w:rPr>
          <w:bCs/>
          <w:b/>
        </w:rPr>
        <w:t xml:space="preserve">Date:</w:t>
      </w:r>
      <w:r>
        <w:t xml:space="preserve"> </w:t>
      </w:r>
      <w:r>
        <w:t xml:space="preserve">October 2023 |</w:t>
      </w:r>
    </w:p>
    <w:p>
      <w:pPr>
        <w:pStyle w:val="BodyText"/>
      </w:pPr>
      <w:r>
        <w:t xml:space="preserve">Status:Draft for Review |</w:t>
      </w:r>
    </w:p>
    <w:p>
      <w:pPr>
        <w:pStyle w:val="BodyText"/>
      </w:pPr>
      <w:r>
        <w:t xml:space="preserve">Jurisdiction:Iran Tehran</w:t>
      </w:r>
    </w:p>
    <w:p>
      <w:pPr>
        <w:pStyle w:val="BodyText"/>
      </w:pPr>
      <w:r>
        <w:t xml:space="preserve">html</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Accounting Services in Iran Tehran</dc:title>
  <dc:creator/>
  <dc:language>en</dc:language>
  <cp:keywords/>
  <dcterms:created xsi:type="dcterms:W3CDTF">2026-07-29T04:43:54Z</dcterms:created>
  <dcterms:modified xsi:type="dcterms:W3CDTF">2026-07-29T04:43:54Z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