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Japan</w:t>
      </w:r>
      <w:r>
        <w:t xml:space="preserve"> </w:t>
      </w:r>
      <w:r>
        <w:t xml:space="preserve">Kyoto</w:t>
      </w:r>
    </w:p>
    <w:bookmarkStart w:id="29" w:name="Xf02cff3f834484d4980e710f882919558a1b2c9"/>
    <w:p>
      <w:pPr>
        <w:pStyle w:val="Heading1"/>
      </w:pPr>
      <w:r>
        <w:rPr>
          <w:bCs/>
          <w:b/>
        </w:rPr>
        <w:t xml:space="preserve">Project Report</w:t>
      </w:r>
      <w:r>
        <w:t xml:space="preserve">: Strategic Implementation of the</w:t>
      </w:r>
      <w:r>
        <w:t xml:space="preserve"> </w:t>
      </w:r>
      <w:r>
        <w:rPr>
          <w:bCs/>
          <w:b/>
        </w:rPr>
        <w:t xml:space="preserve">Accountant</w:t>
      </w:r>
      <w:r>
        <w:br/>
      </w:r>
      <w:r>
        <w:t xml:space="preserve">Culture and Compliance in Japan, Kyoto Region</w:t>
      </w:r>
    </w:p>
    <w:p>
      <w:pPr>
        <w:pStyle w:val="FirstParagraph"/>
      </w:pPr>
      <w:r>
        <w:rPr>
          <w:iCs/>
          <w:i/>
        </w:rPr>
        <w:t xml:space="preserve">Date: October 24, 2023</w:t>
      </w:r>
      <w:r>
        <w:br/>
      </w:r>
      <w:r>
        <w:rPr>
          <w:iCs/>
          <w:i/>
        </w:rPr>
        <w:t xml:space="preserve">Status: Finalized</w:t>
      </w:r>
      <w:r>
        <w:br/>
      </w:r>
      <w:r>
        <w:rPr>
          <w:iCs/>
          <w:i/>
        </w:rPr>
        <w:t xml:space="preserve">Region Focus: Kyoto Prefecture, Japan</w:t>
      </w:r>
    </w:p>
    <w:bookmarkStart w:id="20" w:name="executive-summary"/>
    <w:p>
      <w:pPr>
        <w:pStyle w:val="Heading2"/>
      </w:pPr>
      <w:r>
        <w:t xml:space="preserve">1. Executive Summary</w:t>
      </w:r>
    </w:p>
    <w:p>
      <w:pPr>
        <w:pStyle w:val="FirstParagraph"/>
      </w:pPr>
      <w:r>
        <w:t xml:space="preserve">This document serves as a comprehensive Project Report detailing the operational, cultural, and regulatory landscape required for establishing a robust financial accounting framework within the historic and rapidly modernizing city of Kyoto, Japan. As global businesses increasingly look toward Eastern markets for growth, understanding the specific nuances of local finance is paramount. The primary objective of this report is to outline the critical role of an</w:t>
      </w:r>
      <w:r>
        <w:t xml:space="preserve"> </w:t>
      </w:r>
      <w:r>
        <w:rPr>
          <w:bCs/>
          <w:b/>
        </w:rPr>
        <w:t xml:space="preserve">Accountant</w:t>
      </w:r>
      <w:r>
        <w:t xml:space="preserve"> </w:t>
      </w:r>
      <w:r>
        <w:t xml:space="preserve">in navigating the complex regulatory environment of Japan, with a specialized focus on the unique economic and cultural dynamics present in Kyoto. By analyzing tax structures, corporate governance expectations, and cultural imperatives such as</w:t>
      </w:r>
      <w:r>
        <w:t xml:space="preserve"> </w:t>
      </w:r>
      <w:r>
        <w:rPr>
          <w:iCs/>
          <w:i/>
        </w:rPr>
        <w:t xml:space="preserve">Giri</w:t>
      </w:r>
      <w:r>
        <w:t xml:space="preserve"> </w:t>
      </w:r>
      <w:r>
        <w:t xml:space="preserve">(social obligation) and</w:t>
      </w:r>
      <w:r>
        <w:t xml:space="preserve"> </w:t>
      </w:r>
      <w:r>
        <w:rPr>
          <w:iCs/>
          <w:i/>
        </w:rPr>
        <w:t xml:space="preserve">Ninjou</w:t>
      </w:r>
      <w:r>
        <w:t xml:space="preserve"> </w:t>
      </w:r>
      <w:r>
        <w:t xml:space="preserve">(human emotion), this report provides a roadmap for financial stability and ethical compliance.</w:t>
      </w:r>
    </w:p>
    <w:bookmarkEnd w:id="20"/>
    <w:bookmarkStart w:id="21" w:name="introduction-the-context-of-kyoto"/>
    <w:p>
      <w:pPr>
        <w:pStyle w:val="Heading2"/>
      </w:pPr>
      <w:r>
        <w:t xml:space="preserve">2. Introduction: The Context of Kyoto</w:t>
      </w:r>
    </w:p>
    <w:p>
      <w:pPr>
        <w:pStyle w:val="FirstParagraph"/>
      </w:pPr>
      <w:r>
        <w:t xml:space="preserve">Kyoto, the former imperial capital of Japan, is not merely a tourist hub but a significant economic center known for its traditional industries alongside growing sectors in technology and international trade. For any enterprise operating in this region, the location carries inherent prestige but also heightened scrutiny. The Project Report emphasizes that financial integrity in Kyoto is viewed through both a legalistic lens and a communal trust perspective. An</w:t>
      </w:r>
      <w:r>
        <w:t xml:space="preserve"> </w:t>
      </w:r>
      <w:r>
        <w:rPr>
          <w:bCs/>
          <w:b/>
        </w:rPr>
        <w:t xml:space="preserve">Accountant</w:t>
      </w:r>
      <w:r>
        <w:t xml:space="preserve"> </w:t>
      </w:r>
      <w:r>
        <w:t xml:space="preserve">working here must possess more than technical proficiency; they must act as cultural bridge-builders, ensuring that financial practices respect the deep-seated traditions of</w:t>
      </w:r>
      <w:r>
        <w:t xml:space="preserve"> </w:t>
      </w:r>
      <w:r>
        <w:rPr>
          <w:iCs/>
          <w:i/>
        </w:rPr>
        <w:t xml:space="preserve">Japan Kyoto</w:t>
      </w:r>
      <w:r>
        <w:t xml:space="preserve">.</w:t>
      </w:r>
    </w:p>
    <w:bookmarkEnd w:id="21"/>
    <w:bookmarkStart w:id="22" w:name="X1c418159cc9da4ee6e8fb02576c724e66d941c5"/>
    <w:p>
      <w:pPr>
        <w:pStyle w:val="Heading2"/>
      </w:pPr>
      <w:r>
        <w:t xml:space="preserve">3. Regulatory Framework and Taxation in Japan Kyoto</w:t>
      </w:r>
    </w:p>
    <w:p>
      <w:pPr>
        <w:pStyle w:val="FirstParagraph"/>
      </w:pPr>
      <w:r>
        <w:t xml:space="preserve">Navigating the Japanese tax system is notoriously complex due to its layered structure involving national, prefectural, and municipal taxes. For an organization based in or operating out of Kyoto, the following fiscal obligations are critical:</w:t>
      </w:r>
    </w:p>
    <w:p>
      <w:pPr>
        <w:numPr>
          <w:ilvl w:val="0"/>
          <w:numId w:val="1001"/>
        </w:numPr>
        <w:pStyle w:val="Compact"/>
      </w:pPr>
      <w:r>
        <w:rPr>
          <w:bCs/>
          <w:b/>
        </w:rPr>
        <w:t xml:space="preserve">Incorporate Tax (法人税):</w:t>
      </w:r>
      <w:r>
        <w:t xml:space="preserve"> </w:t>
      </w:r>
      <w:r>
        <w:t xml:space="preserve">Corporations must file annual tax returns reflecting their profits. In Kyoto, where many family-owned businesses operate alongside multinational corporations, the distinction between personal and corporate assets can sometimes blur in practice, though strict separation is legally required.</w:t>
      </w:r>
    </w:p>
    <w:p>
      <w:pPr>
        <w:numPr>
          <w:ilvl w:val="0"/>
          <w:numId w:val="1001"/>
        </w:numPr>
        <w:pStyle w:val="Compact"/>
      </w:pPr>
      <w:r>
        <w:rPr>
          <w:bCs/>
          <w:b/>
        </w:rPr>
        <w:t xml:space="preserve">Consumption Tax (消費税):</w:t>
      </w:r>
      <w:r>
        <w:t xml:space="preserve"> </w:t>
      </w:r>
      <w:r>
        <w:t xml:space="preserve">Currently set at 10%, this tax impacts all transactions. However, specific sectors in Kyoto related to tourism and hospitality may have distinct reporting requirements or exemptions that must be meticulously managed by the local</w:t>
      </w:r>
      <w:r>
        <w:t xml:space="preserve"> </w:t>
      </w:r>
      <w:r>
        <w:rPr>
          <w:bCs/>
          <w:b/>
        </w:rPr>
        <w:t xml:space="preserve">Accountant</w:t>
      </w:r>
      <w:r>
        <w:t xml:space="preserve">.</w:t>
      </w:r>
    </w:p>
    <w:p>
      <w:pPr>
        <w:numPr>
          <w:ilvl w:val="0"/>
          <w:numId w:val="1001"/>
        </w:numPr>
        <w:pStyle w:val="Compact"/>
      </w:pPr>
      <w:r>
        <w:rPr>
          <w:bCs/>
          <w:b/>
        </w:rPr>
        <w:t xml:space="preserve">Kyoto Prefectural and Municipal Taxes:</w:t>
      </w:r>
      <w:r>
        <w:t xml:space="preserve"> </w:t>
      </w:r>
      <w:r>
        <w:t xml:space="preserve">In addition to national levies, businesses must pay inhabitant taxes and fixed asset taxes specific to Kyoto City. These local taxes often fund cultural preservation efforts, meaning financial compliance in this region directly contributes to the heritage of the area.</w:t>
      </w:r>
    </w:p>
    <w:p>
      <w:pPr>
        <w:pStyle w:val="FirstParagraph"/>
      </w:pPr>
      <w:r>
        <w:t xml:space="preserve">The Project Report highlights that errors in these filings can lead not only to financial penalties but also significant reputational damage within the close-knit business community of Kyoto. Therefore, precision provided by a qualified</w:t>
      </w:r>
      <w:r>
        <w:t xml:space="preserve"> </w:t>
      </w:r>
      <w:r>
        <w:rPr>
          <w:bCs/>
          <w:b/>
        </w:rPr>
        <w:t xml:space="preserve">Accountant</w:t>
      </w:r>
      <w:r>
        <w:t xml:space="preserve"> </w:t>
      </w:r>
      <w:r>
        <w:t xml:space="preserve">is non-negotiable.</w:t>
      </w:r>
    </w:p>
    <w:bookmarkEnd w:id="22"/>
    <w:bookmarkStart w:id="25" w:name="X4d1e87bbe8881a4334f05b7a53b1c374feb06bd"/>
    <w:p>
      <w:pPr>
        <w:pStyle w:val="Heading2"/>
      </w:pPr>
      <w:r>
        <w:t xml:space="preserve">4. The Role of the Accountant: Beyond Number Cranking</w:t>
      </w:r>
    </w:p>
    <w:p>
      <w:pPr>
        <w:pStyle w:val="FirstParagraph"/>
      </w:pPr>
      <w:r>
        <w:t xml:space="preserve">In many Western contexts, an accountant is primarily seen as a compliance officer or strategic advisor. However, in Japan Kyoto, the role expands to include elements of risk management and relationship maintenance. The modern Japanese business landscape is undergoing digital transformation (DX), yet it remains deeply rooted in trust-based relationships.</w:t>
      </w:r>
    </w:p>
    <w:bookmarkStart w:id="23" w:name="technical-competencies"/>
    <w:p>
      <w:pPr>
        <w:pStyle w:val="Heading3"/>
      </w:pPr>
      <w:r>
        <w:t xml:space="preserve">4.1 Technical Competencies</w:t>
      </w:r>
    </w:p>
    <w:p>
      <w:pPr>
        <w:pStyle w:val="FirstParagraph"/>
      </w:pPr>
      <w:r>
        <w:t xml:space="preserve">The</w:t>
      </w:r>
      <w:r>
        <w:t xml:space="preserve"> </w:t>
      </w:r>
      <w:r>
        <w:rPr>
          <w:bCs/>
          <w:b/>
        </w:rPr>
        <w:t xml:space="preserve">Accountant</w:t>
      </w:r>
      <w:r>
        <w:t xml:space="preserve"> </w:t>
      </w:r>
      <w:r>
        <w:t xml:space="preserve">must be proficient in Japanese GAAP (Generally Accepted Accounting Principles) and increasingly, IFRS (International Financial Reporting Standards), as Kyoto attracts many foreign investors. Skills in tax planning, payroll management for local staff adhering to Japanese labor laws, and audit preparation are essential.</w:t>
      </w:r>
    </w:p>
    <w:bookmarkEnd w:id="23"/>
    <w:bookmarkStart w:id="24" w:name="cultural-competencies"/>
    <w:p>
      <w:pPr>
        <w:pStyle w:val="Heading3"/>
      </w:pPr>
      <w:r>
        <w:t xml:space="preserve">4.2 Cultural Competencies</w:t>
      </w:r>
    </w:p>
    <w:p>
      <w:pPr>
        <w:pStyle w:val="FirstParagraph"/>
      </w:pPr>
      <w:r>
        <w:t xml:space="preserve">The concept of</w:t>
      </w:r>
      <w:r>
        <w:t xml:space="preserve"> </w:t>
      </w:r>
      <w:r>
        <w:rPr>
          <w:iCs/>
          <w:i/>
        </w:rPr>
        <w:t xml:space="preserve">Hou-Ren-So</w:t>
      </w:r>
      <w:r>
        <w:t xml:space="preserve"> </w:t>
      </w:r>
      <w:r>
        <w:t xml:space="preserve">(Report, Communicate, Consult) is vital in Kyoto’s corporate culture. An effective accountant must maintain open lines of communication with stakeholders who may prefer indirect communication styles. Misunderstandings in financial reporting can be perceived as breaches of trust. Furthermore, the accountant must understand the seasonal nature of business in Kyoto; for instance, fiscal periods often align with traditional festivals and tourism peaks, requiring dynamic cash flow management.</w:t>
      </w:r>
    </w:p>
    <w:bookmarkEnd w:id="24"/>
    <w:bookmarkEnd w:id="25"/>
    <w:bookmarkStart w:id="26" w:name="challenges-specific-to-japan-kyoto"/>
    <w:p>
      <w:pPr>
        <w:pStyle w:val="Heading2"/>
      </w:pPr>
      <w:r>
        <w:t xml:space="preserve">5. Challenges Specific to Japan Kyoto</w:t>
      </w:r>
    </w:p>
    <w:p>
      <w:pPr>
        <w:pStyle w:val="FirstParagraph"/>
      </w:pPr>
      <w:r>
        <w:t xml:space="preserve">The Project Report identifies several unique challenges facing financial operations in this region:</w:t>
      </w:r>
    </w:p>
    <w:p>
      <w:pPr>
        <w:numPr>
          <w:ilvl w:val="0"/>
          <w:numId w:val="1002"/>
        </w:numPr>
        <w:pStyle w:val="Compact"/>
      </w:pPr>
      <w:r>
        <w:rPr>
          <w:bCs/>
          <w:b/>
        </w:rPr>
        <w:t xml:space="preserve">Labor Shortages:</w:t>
      </w:r>
      <w:r>
        <w:t xml:space="preserve"> </w:t>
      </w:r>
      <w:r>
        <w:t xml:space="preserve">Like much of rural and semi-urban Japan, Kyoto faces demographic shifts leading to labor shortages. The accountant must manage payroll systems that remain compliant even as staffing models become more flexible or part-time based.</w:t>
      </w:r>
    </w:p>
    <w:p>
      <w:pPr>
        <w:numPr>
          <w:ilvl w:val="0"/>
          <w:numId w:val="1002"/>
        </w:numPr>
        <w:pStyle w:val="Compact"/>
      </w:pPr>
      <w:r>
        <w:rPr>
          <w:bCs/>
          <w:b/>
        </w:rPr>
        <w:t xml:space="preserve">Digital Integration:</w:t>
      </w:r>
      <w:r>
        <w:t xml:space="preserve"> </w:t>
      </w:r>
      <w:r>
        <w:t xml:space="preserve">While traditional businesses in Kyoto value face-to-face interactions and paper-based receipts (Shiharisho), there is a strong push toward digital invoicing and electronic tax records. Bridging this gap requires an accountant who can train staff on new systems without alienating older generations of business owners.</w:t>
      </w:r>
    </w:p>
    <w:p>
      <w:pPr>
        <w:numPr>
          <w:ilvl w:val="0"/>
          <w:numId w:val="1002"/>
        </w:numPr>
        <w:pStyle w:val="Compact"/>
      </w:pPr>
      <w:r>
        <w:rPr>
          <w:bCs/>
          <w:b/>
        </w:rPr>
        <w:t xml:space="preserve">Cultural Sensitivity in Audits:</w:t>
      </w:r>
      <w:r>
        <w:t xml:space="preserve"> </w:t>
      </w:r>
      <w:r>
        <w:t xml:space="preserve">External audits in Kyoto are often viewed with apprehension. The</w:t>
      </w:r>
      <w:r>
        <w:t xml:space="preserve"> </w:t>
      </w:r>
      <w:r>
        <w:rPr>
          <w:bCs/>
          <w:b/>
        </w:rPr>
        <w:t xml:space="preserve">Accountant</w:t>
      </w:r>
      <w:r>
        <w:t xml:space="preserve"> </w:t>
      </w:r>
      <w:r>
        <w:t xml:space="preserve">must prepare the organization for audits by ensuring documentation is impeccable, framing compliance as a mark of quality and reliability rather than just regulatory adherence.</w:t>
      </w:r>
    </w:p>
    <w:bookmarkEnd w:id="26"/>
    <w:bookmarkStart w:id="27" w:name="strategic-recommendations"/>
    <w:p>
      <w:pPr>
        <w:pStyle w:val="Heading2"/>
      </w:pPr>
      <w:r>
        <w:t xml:space="preserve">6. Strategic Recommendations</w:t>
      </w:r>
    </w:p>
    <w:p>
      <w:pPr>
        <w:pStyle w:val="FirstParagraph"/>
      </w:pPr>
      <w:r>
        <w:t xml:space="preserve">To ensure successful financial management in Japan Kyoto, this Project Report recommends the following strategies:</w:t>
      </w:r>
    </w:p>
    <w:p>
      <w:pPr>
        <w:numPr>
          <w:ilvl w:val="0"/>
          <w:numId w:val="1003"/>
        </w:numPr>
        <w:pStyle w:val="Compact"/>
      </w:pPr>
      <w:r>
        <w:rPr>
          <w:bCs/>
          <w:b/>
        </w:rPr>
        <w:t xml:space="preserve">Hire Local Expertise:</w:t>
      </w:r>
      <w:r>
        <w:t xml:space="preserve"> </w:t>
      </w:r>
      <w:r>
        <w:t xml:space="preserve">Recruit an accountant or firm with specific experience in the Kansai region. Their understanding of local tax incentives for foreign investment and cultural nuances is invaluable.</w:t>
      </w:r>
    </w:p>
    <w:p>
      <w:pPr>
        <w:numPr>
          <w:ilvl w:val="0"/>
          <w:numId w:val="1003"/>
        </w:numPr>
        <w:pStyle w:val="Compact"/>
      </w:pPr>
      <w:r>
        <w:rPr>
          <w:bCs/>
          <w:b/>
        </w:rPr>
        <w:t xml:space="preserve">Implement Robust Internal Controls:</w:t>
      </w:r>
      <w:r>
        <w:t xml:space="preserve"> </w:t>
      </w:r>
      <w:r>
        <w:t xml:space="preserve">Establish clear protocols for financial transactions that prevent fraud and errors, aligning with Japan’s strict corporate governance codes.</w:t>
      </w:r>
    </w:p>
    <w:p>
      <w:pPr>
        <w:numPr>
          <w:ilvl w:val="0"/>
          <w:numId w:val="1003"/>
        </w:numPr>
        <w:pStyle w:val="Compact"/>
      </w:pPr>
      <w:r>
        <w:rPr>
          <w:bCs/>
          <w:b/>
        </w:rPr>
        <w:t xml:space="preserve">Leverage Technology Wisely:</w:t>
      </w:r>
      <w:r>
        <w:t xml:space="preserve"> </w:t>
      </w:r>
      <w:r>
        <w:t xml:space="preserve">Utilize cloud-based accounting software that supports Japanese tax formats but offers English interfaces for international stakeholders, facilitating transparency.</w:t>
      </w:r>
    </w:p>
    <w:p>
      <w:pPr>
        <w:numPr>
          <w:ilvl w:val="0"/>
          <w:numId w:val="1003"/>
        </w:numPr>
        <w:pStyle w:val="Compact"/>
      </w:pPr>
      <w:r>
        <w:rPr>
          <w:bCs/>
          <w:b/>
        </w:rPr>
        <w:t xml:space="preserve">Cultural Training for Finance Teams:</w:t>
      </w:r>
      <w:r>
        <w:t xml:space="preserve"> </w:t>
      </w:r>
      <w:r>
        <w:t xml:space="preserve">Ensure that financial teams understand the expectations of Kyoto business etiquette, including gift-giving protocols during fiscal year-end and respectful communication with auditors.</w:t>
      </w:r>
    </w:p>
    <w:bookmarkEnd w:id="27"/>
    <w:bookmarkStart w:id="28" w:name="conclusion"/>
    <w:p>
      <w:pPr>
        <w:pStyle w:val="Heading2"/>
      </w:pPr>
      <w:r>
        <w:t xml:space="preserve">7. Conclusion</w:t>
      </w:r>
    </w:p>
    <w:p>
      <w:pPr>
        <w:pStyle w:val="FirstParagraph"/>
      </w:pPr>
      <w:r>
        <w:t xml:space="preserve">In conclusion, the role of an</w:t>
      </w:r>
      <w:r>
        <w:t xml:space="preserve"> </w:t>
      </w:r>
      <w:r>
        <w:rPr>
          <w:bCs/>
          <w:b/>
        </w:rPr>
        <w:t xml:space="preserve">Accountant</w:t>
      </w:r>
      <w:r>
        <w:t xml:space="preserve"> </w:t>
      </w:r>
      <w:r>
        <w:t xml:space="preserve">in Japan Kyoto is multifaceted and critical to the long-term success of any enterprise operating in this historic city. This Project Report has demonstrated that financial compliance is inextricably linked with cultural respect and regulatory precision. As Kyoto continues to balance its rich heritage with modern economic ambitions, the demand for skilled financial professionals who can navigate these dual landscapes will only grow. By adhering to the guidelines outlined in this report, organizations can ensure not only fiscal health but also strong community integration and sustainable growth in the vibrant market of Japan Kyoto.</w:t>
      </w:r>
    </w:p>
    <w:p>
      <w:pPr>
        <w:pStyle w:val="BodyText"/>
      </w:pPr>
      <w:r>
        <w:rPr>
          <w:bCs/>
          <w:b/>
        </w:rPr>
        <w:t xml:space="preserve">End of Project Report</w:t>
      </w:r>
      <w:r>
        <w:br/>
      </w:r>
      <w:r>
        <w:t xml:space="preserve">Prepared for stakeholders involved in operations across Japan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Role in Japan Kyoto</dc:title>
  <dc:creator/>
  <dc:language>en</dc:language>
  <cp:keywords/>
  <dcterms:created xsi:type="dcterms:W3CDTF">2026-07-29T18:38:45Z</dcterms:created>
  <dcterms:modified xsi:type="dcterms:W3CDTF">2026-07-29T18:38:45Z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