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Actor</w:t>
      </w:r>
      <w:r>
        <w:t xml:space="preserve"> </w:t>
      </w:r>
      <w:r>
        <w:t xml:space="preserve">Deployment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21" w:name="X5251c5bf68e8169817df28bcf8346eaa8df5a8b"/>
    <w:p>
      <w:pPr>
        <w:pStyle w:val="Heading1"/>
      </w:pPr>
      <w:r>
        <w:t xml:space="preserve">Project Report: Strategic Deployment and Operational Framework for the Actor Role in Iraq Baghdad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Project Steering Committee</w:t>
      </w:r>
      <w:r>
        <w:br/>
      </w:r>
    </w:p>
    <w:p>
      <w:pPr>
        <w:pStyle w:val="BodyText"/>
      </w:pPr>
      <w:r>
        <w:t xml:space="preserve">From:</w:t>
      </w:r>
      <w:r>
        <w:t xml:space="preserve">Project Management Office</w:t>
      </w:r>
      <w:r>
        <w:br/>
      </w:r>
      <w:r>
        <w:rPr>
          <w:bCs/>
          <w:b/>
        </w:rPr>
        <w:t xml:space="preserve">Subject: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report provides a detailed examination of the role, responsibilities, and strategic importance of the designated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within the ongoing humanitarian and development initiatives 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. As part of our broader mandate to stabilize and reconstruct critical infrastructure in the capital region, defining clear lines of authority for every</w:t>
      </w:r>
      <w:r>
        <w:t xml:space="preserve"> </w:t>
      </w:r>
      <w:r>
        <w:rPr>
          <w:iCs/>
          <w:i/>
        </w:rPr>
        <w:t xml:space="preserve">Actor</w:t>
      </w:r>
    </w:p>
    <w:p>
      <w:pPr>
        <w:pStyle w:val="BodyText"/>
      </w:pPr>
      <w:r>
        <w:t xml:space="preserve">.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Actor Deployment in Iraq Baghdad</dc:title>
  <dc:creator/>
  <dc:language>en</dc:language>
  <cp:keywords/>
  <dcterms:created xsi:type="dcterms:W3CDTF">2026-09-26T00:22:17Z</dcterms:created>
  <dcterms:modified xsi:type="dcterms:W3CDTF">2026-09-26T00:22:17Z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