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Project</w:t>
      </w:r>
      <w:r>
        <w:t xml:space="preserve"> </w:t>
      </w:r>
      <w:r>
        <w:t xml:space="preserve">Report:</w:t>
      </w:r>
      <w:r>
        <w:t xml:space="preserve"> </w:t>
      </w:r>
      <w:r>
        <w:t xml:space="preserve">Indonesia</w:t>
      </w:r>
      <w:r>
        <w:t xml:space="preserve"> </w:t>
      </w:r>
      <w:r>
        <w:t xml:space="preserve">Jakarta</w:t>
      </w:r>
    </w:p>
    <w:bookmarkStart w:id="25" w:name="aerospace-engineer-project-report"/>
    <w:p>
      <w:pPr>
        <w:pStyle w:val="Heading1"/>
      </w:pPr>
      <w:r>
        <w:t xml:space="preserve">Aerospace Engineer Project Report</w:t>
      </w:r>
    </w:p>
    <w:p>
      <w:pPr>
        <w:pStyle w:val="FirstParagraph"/>
      </w:pPr>
      <w:r>
        <w:rPr>
          <w:bCs/>
          <w:b/>
        </w:rPr>
        <w:t xml:space="preserve">Date:</w:t>
      </w:r>
      <w:r>
        <w:t xml:space="preserve"> </w:t>
      </w:r>
      <w:r>
        <w:t xml:space="preserve">May 24, 2024</w:t>
      </w:r>
      <w:r>
        <w:br/>
      </w:r>
      <w:r>
        <w:rPr>
          <w:bCs/>
          <w:b/>
        </w:rPr>
        <w:t xml:space="preserve">To:</w:t>
      </w:r>
      <w:r>
        <w:t xml:space="preserve"> </w:t>
      </w:r>
      <w:r>
        <w:t xml:space="preserve">Directorate General of Civil Aviation Indonesia</w:t>
      </w:r>
      <w:r>
        <w:br/>
      </w:r>
      <w:r>
        <w:rPr>
          <w:bCs/>
          <w:b/>
        </w:rPr>
        <w:t xml:space="preserve">Cc:</w:t>
      </w:r>
      <w:r>
        <w:t xml:space="preserve"> </w:t>
      </w:r>
      <w:r>
        <w:t xml:space="preserve">Ministry of Transportation Republic of Indonesia Jakarta</w:t>
      </w:r>
      <w:r>
        <w:br/>
      </w:r>
      <w:r>
        <w:rPr>
          <w:bCs/>
          <w:b/>
        </w:rPr>
        <w:t xml:space="preserve">Status:</w:t>
      </w:r>
    </w:p>
    <w:p>
      <w:pPr>
        <w:pStyle w:val="BodyText"/>
      </w:pPr>
      <w:r>
        <w:t xml:space="preserve">The</w:t>
      </w:r>
      <w:r>
        <w:t xml:space="preserve"> </w:t>
      </w:r>
      <w:r>
        <w:rPr>
          <w:iCs/>
          <w:i/>
        </w:rPr>
        <w:t xml:space="preserve">Aerospace Engineer</w:t>
      </w:r>
      <w:r>
        <w:br/>
      </w:r>
      <w:hyperlink w:anchor="project-overview">
        <w:r>
          <w:rPr>
            <w:rStyle w:val="Hyperlink"/>
          </w:rPr>
          <w:t xml:space="preserve">Project Overview</w:t>
        </w:r>
      </w:hyperlink>
      <w:r>
        <w:br/>
      </w:r>
      <w:hyperlink w:anchor="regulatory-framework">
        <w:r>
          <w:rPr>
            <w:rStyle w:val="Hyperlink"/>
          </w:rPr>
          <w:t xml:space="preserve">Regulatory Framework and Compliance in Indonesia Jakarta</w:t>
        </w:r>
      </w:hyperlink>
      <w:r>
        <w:br/>
      </w:r>
    </w:p>
    <w:p>
      <w:pPr>
        <w:pStyle w:val="BodyText"/>
      </w:pPr>
      <w:r>
        <w:t xml:space="preserve">Technical Implementation Challenges in a Tropical Environment</w:t>
      </w:r>
      <w:r>
        <w:br/>
      </w:r>
    </w:p>
    <w:p>
      <w:pPr>
        <w:pStyle w:val="BodyText"/>
      </w:pPr>
      <w:bookmarkStart w:id="20" w:name="project-overview"/>
      <w:bookmarkEnd w:id="20"/>
    </w:p>
    <w:p>
      <w:pPr>
        <w:pStyle w:val="BodyText"/>
      </w:pPr>
      <w:r>
        <w:t xml:space="preserve">The primary objective of this</w:t>
      </w:r>
      <w:r>
        <w:t xml:space="preserve"> </w:t>
      </w:r>
      <w:r>
        <w:rPr>
          <w:bCs/>
          <w:b/>
        </w:rPr>
        <w:t xml:space="preserve">Aerospace Engineer</w:t>
      </w:r>
      <w:r>
        <w:t xml:space="preserve"> </w:t>
      </w:r>
      <w:r>
        <w:t xml:space="preserve">initiative is the modernization and integration of advanced Unmanned Aircraft Systems (UAS) into the civil airspace management system within</w:t>
      </w:r>
      <w:r>
        <w:t xml:space="preserve"> </w:t>
      </w:r>
      <w:r>
        <w:rPr>
          <w:bCs/>
          <w:b/>
        </w:rPr>
        <w:t xml:space="preserve">Indonesia Jakarta</w:t>
      </w:r>
      <w:r>
        <w:t xml:space="preserve">. As a rapidly developing archipelagic nation, Indonesia faces unique logistical challenges that make aerial surveillance, cargo delivery, and emergency response critical for national development. This report details the strategic planning required to implement these systems specifically tailored to the dense urban infrastructure and complex meteorological conditions found in</w:t>
      </w:r>
      <w:r>
        <w:t xml:space="preserve"> </w:t>
      </w:r>
      <w:r>
        <w:rPr>
          <w:bCs/>
          <w:b/>
        </w:rPr>
        <w:t xml:space="preserve">Indonesia Jakarta</w:t>
      </w:r>
      <w:r>
        <w:t xml:space="preserve">.</w:t>
      </w:r>
    </w:p>
    <w:bookmarkStart w:id="21" w:name="regulatory-framework"/>
    <w:p>
      <w:pPr>
        <w:pStyle w:val="Heading2"/>
      </w:pPr>
      <w:r>
        <w:t xml:space="preserve">Regulatory Framework and Compliance in Indonesia Jakarta</w:t>
      </w:r>
    </w:p>
    <w:p>
      <w:pPr>
        <w:pStyle w:val="FirstParagraph"/>
      </w:pPr>
      <w:r>
        <w:t xml:space="preserve">The role of an</w:t>
      </w:r>
      <w:r>
        <w:t xml:space="preserve"> </w:t>
      </w:r>
      <w:r>
        <w:rPr>
          <w:bCs/>
          <w:b/>
        </w:rPr>
        <w:t xml:space="preserve">Aerospace Engineer</w:t>
      </w:r>
      <w:r>
        <w:t xml:space="preserve"> </w:t>
      </w:r>
      <w:r>
        <w:t xml:space="preserve">extends beyond technical design; it requires strict adherence to local aviation laws. In the context of</w:t>
      </w:r>
      <w:r>
        <w:t xml:space="preserve"> </w:t>
      </w:r>
      <w:r>
        <w:rPr>
          <w:bCs/>
          <w:b/>
        </w:rPr>
        <w:t xml:space="preserve">Indonesia Jakarta</w:t>
      </w:r>
      <w:r>
        <w:t xml:space="preserve">, the regulatory body overseeing these operations is the Directorate General of Civil Aviation (DGCA). The engineering team must ensure that all proposed UAS platforms meet the safety standards mandated by Indonesian law while aligning with International Civil Aviation Organization (ICAO) guidelines.</w:t>
      </w:r>
    </w:p>
    <w:p>
      <w:pPr>
        <w:pStyle w:val="BodyText"/>
      </w:pPr>
      <w:r>
        <w:t xml:space="preserve">The density of air traffic in</w:t>
      </w:r>
      <w:r>
        <w:t xml:space="preserve"> </w:t>
      </w:r>
      <w:r>
        <w:rPr>
          <w:bCs/>
          <w:b/>
        </w:rPr>
        <w:t xml:space="preserve">Indonesia Jakarta</w:t>
      </w:r>
      <w:r>
        <w:t xml:space="preserve">, particularly around Soekarno-Hatta International Airport, presents a significant hurdle for new entrants. The</w:t>
      </w:r>
      <w:r>
        <w:t xml:space="preserve"> </w:t>
      </w:r>
      <w:r>
        <w:rPr>
          <w:bCs/>
          <w:b/>
        </w:rPr>
        <w:t xml:space="preserve">Aerospace Engineer</w:t>
      </w:r>
      <w:r>
        <w:t xml:space="preserve"> </w:t>
      </w:r>
      <w:r>
        <w:t xml:space="preserve">must design fail-safe algorithms that integrate seamlessly with existing Air Traffic Control (ATC) radar systems. This involves complex communication protocols to prevent mid-air collisions in a highly congested urban airspace. Furthermore, data sovereignty laws in Indonesia require that all flight telemetry and surveillance data collected by these systems remain stored on servers located within the borders of</w:t>
      </w:r>
      <w:r>
        <w:t xml:space="preserve"> </w:t>
      </w:r>
      <w:r>
        <w:rPr>
          <w:bCs/>
          <w:b/>
        </w:rPr>
        <w:t xml:space="preserve">Indonesia Jakarta</w:t>
      </w:r>
      <w:r>
        <w:t xml:space="preserve">, necessitating robust local cybersecurity measures.</w:t>
      </w:r>
    </w:p>
    <w:bookmarkEnd w:id="21"/>
    <w:bookmarkStart w:id="22" w:name="technical-implementation"/>
    <w:p>
      <w:pPr>
        <w:pStyle w:val="Heading2"/>
      </w:pPr>
      <w:r>
        <w:t xml:space="preserve">Technical Implementation Challenges in a Tropical Environment</w:t>
      </w:r>
    </w:p>
    <w:p>
      <w:pPr>
        <w:pStyle w:val="FirstParagraph"/>
      </w:pPr>
      <w:r>
        <w:t xml:space="preserve">The tropical climate of</w:t>
      </w:r>
      <w:r>
        <w:t xml:space="preserve"> </w:t>
      </w:r>
      <w:r>
        <w:rPr>
          <w:bCs/>
          <w:b/>
        </w:rPr>
        <w:t xml:space="preserve">Indonesia Jakarta</w:t>
      </w:r>
    </w:p>
    <w:p>
      <w:pPr>
        <w:pStyle w:val="BodyText"/>
      </w:pPr>
      <w:r>
        <w:t xml:space="preserve">poses distinct engineering challenges for aerospace hardware. High humidity and frequent heavy rainfall can degrade electronic components and affect battery performance. The</w:t>
      </w:r>
      <w:r>
        <w:t xml:space="preserve"> </w:t>
      </w:r>
      <w:r>
        <w:rPr>
          <w:bCs/>
          <w:b/>
        </w:rPr>
        <w:t xml:space="preserve">Aerospace Engineer</w:t>
      </w:r>
      <w:r>
        <w:t xml:space="preserve"> </w:t>
      </w:r>
      <w:r>
        <w:t xml:space="preserve">must prioritize the selection of corrosion-resistant materials and waterproof enclosures (IP67 ratings or higher) for all external sensors.</w:t>
      </w:r>
    </w:p>
    <w:p>
      <w:pPr>
        <w:numPr>
          <w:ilvl w:val="0"/>
          <w:numId w:val="1001"/>
        </w:numPr>
        <w:pStyle w:val="Compact"/>
      </w:pPr>
      <w:r>
        <w:rPr>
          <w:bCs/>
          <w:b/>
        </w:rPr>
        <w:t xml:space="preserve">Aerodynamics in Low Pressure:</w:t>
      </w:r>
      <w:r>
        <w:t xml:space="preserve"> </w:t>
      </w:r>
      <w:r>
        <w:rPr>
          <w:iCs/>
          <w:i/>
        </w:rPr>
        <w:t xml:space="preserve">Jakarta</w:t>
      </w:r>
      <w:r>
        <w:t xml:space="preserve">'s proximity to sea level generally offers good air density, but the heat can reduce lift efficiency. The</w:t>
      </w:r>
      <w:r>
        <w:t xml:space="preserve"> </w:t>
      </w:r>
      <w:r>
        <w:rPr>
          <w:bCs/>
          <w:b/>
        </w:rPr>
        <w:t xml:space="preserve">Aerospace Engineer</w:t>
      </w:r>
      <w:r>
        <w:t xml:space="preserve"> </w:t>
      </w:r>
      <w:r>
        <w:t xml:space="preserve">must calculate specific performance adjustments for high-temperature takeoffs and landings.</w:t>
      </w:r>
    </w:p>
    <w:p>
      <w:pPr>
        <w:numPr>
          <w:ilvl w:val="0"/>
          <w:numId w:val="1001"/>
        </w:numPr>
        <w:pStyle w:val="Compact"/>
      </w:pPr>
      <w:r>
        <w:rPr>
          <w:bCs/>
          <w:b/>
        </w:rPr>
        <w:t xml:space="preserve">Meteorological Adaptability:</w:t>
      </w:r>
      <w:r>
        <w:t xml:space="preserve"> </w:t>
      </w:r>
      <w:r>
        <w:t xml:space="preserve">Sudden thunderstorms are common in</w:t>
      </w:r>
    </w:p>
    <w:p>
      <w:pPr>
        <w:numPr>
          <w:ilvl w:val="0"/>
          <w:numId w:val="1000"/>
        </w:numPr>
        <w:pStyle w:val="Compact"/>
      </w:pPr>
      <w:r>
        <w:t xml:space="preserve">Indonesia Jakarta. The drone fleet requires advanced weather radar integration to automatically alter flight paths or return to base when severe weather is detected nearby.</w:t>
      </w:r>
    </w:p>
    <w:bookmarkEnd w:id="22"/>
    <w:bookmarkStart w:id="23" w:name="community-integration"/>
    <w:p>
      <w:pPr>
        <w:pStyle w:val="Heading2"/>
      </w:pPr>
      <w:r>
        <w:t xml:space="preserve">Community Integration and Social Impact</w:t>
      </w:r>
    </w:p>
    <w:p>
      <w:pPr>
        <w:pStyle w:val="FirstParagraph"/>
      </w:pPr>
      <w:r>
        <w:t xml:space="preserve">A successful project cannot exist in isolation. For this</w:t>
      </w:r>
      <w:r>
        <w:t xml:space="preserve"> </w:t>
      </w:r>
      <w:r>
        <w:rPr>
          <w:bCs/>
          <w:b/>
        </w:rPr>
        <w:t xml:space="preserve">Aerospace Engineer</w:t>
      </w:r>
    </w:p>
    <w:p>
      <w:pPr>
        <w:pStyle w:val="BodyText"/>
      </w:pPr>
      <w:r>
        <w:t xml:space="preserve">initiative to succeed in</w:t>
      </w:r>
      <w:r>
        <w:t xml:space="preserve"> </w:t>
      </w:r>
      <w:r>
        <w:rPr>
          <w:bCs/>
          <w:b/>
        </w:rPr>
        <w:t xml:space="preserve">Indonesia Jakarta</w:t>
      </w:r>
      <w:r>
        <w:t xml:space="preserve">, community acceptance is paramount. The introduction of automated aerial logistics can reduce traffic congestion on the ground, a significant issue in the capital city. However, noise pollution and privacy concerns are valid public objections.</w:t>
      </w:r>
    </w:p>
    <w:p>
      <w:pPr>
        <w:pStyle w:val="BodyText"/>
      </w:pPr>
      <w:r>
        <w:t xml:space="preserve">The engineering design phase includes a "silent rotor" technology focus to minimize acoustic impact on residential areas surrounding operational hubs in</w:t>
      </w:r>
      <w:r>
        <w:t xml:space="preserve"> </w:t>
      </w:r>
      <w:r>
        <w:rPr>
          <w:bCs/>
          <w:b/>
        </w:rPr>
        <w:t xml:space="preserve">Indonesia Jakarta</w:t>
      </w:r>
      <w:r>
        <w:t xml:space="preserve">. Additionally, privacy-by-design principles are embedded into the camera systems used for surveillance and mapping. Data is encrypted end-to-end, ensuring that citizen privacy is protected while fulfilling the project's goals of efficient infrastructure monitoring.</w:t>
      </w:r>
    </w:p>
    <w:bookmarkEnd w:id="23"/>
    <w:bookmarkStart w:id="24" w:name="future-outlook"/>
    <w:p>
      <w:pPr>
        <w:pStyle w:val="Heading2"/>
      </w:pPr>
      <w:r>
        <w:t xml:space="preserve">Future Outlook and Scalability</w:t>
      </w:r>
    </w:p>
    <w:p>
      <w:pPr>
        <w:pStyle w:val="FirstParagraph"/>
      </w:pPr>
      <w:r>
        <w:t xml:space="preserve">This initial phase serves as a pilot program for</w:t>
      </w:r>
      <w:r>
        <w:t xml:space="preserve"> </w:t>
      </w:r>
      <w:r>
        <w:rPr>
          <w:bCs/>
          <w:b/>
        </w:rPr>
        <w:t xml:space="preserve">Aerospace Engineer</w:t>
      </w:r>
    </w:p>
    <w:p>
      <w:pPr>
        <w:pStyle w:val="BodyText"/>
      </w:pPr>
      <w:r>
        <w:t xml:space="preserve">deployments across the broader Indonesian archipelago. The lessons learned in the complex environment of</w:t>
      </w:r>
    </w:p>
    <w:p>
      <w:pPr>
        <w:pStyle w:val="BodyText"/>
      </w:pPr>
      <w:r>
        <w:t xml:space="preserve">Indonesia Jakarta will be used to refine systems before rolling out similar projects in other major cities like Surabaya and Medan. By establishing a robust regulatory and technical baseline in</w:t>
      </w:r>
    </w:p>
    <w:p>
      <w:pPr>
        <w:pStyle w:val="BodyText"/>
      </w:pPr>
      <w:r>
        <w:t xml:space="preserve">Indonesia Jakarta, Indonesia aims to position itself as a regional leader in civil aviation innovation.</w:t>
      </w:r>
    </w:p>
    <w:p>
      <w:pPr>
        <w:pStyle w:val="BodyText"/>
      </w:pPr>
      <w:r>
        <w:br/>
      </w:r>
    </w:p>
    <w:p>
      <w:pPr>
        <w:pStyle w:val="BodyText"/>
      </w:pPr>
      <w:r>
        <w:t xml:space="preserve">In conclusion, the integration of advanced aerospace technologies requires meticulous planning by the</w:t>
      </w:r>
      <w:r>
        <w:t xml:space="preserve"> </w:t>
      </w:r>
      <w:r>
        <w:rPr>
          <w:bCs/>
          <w:b/>
        </w:rPr>
        <w:t xml:space="preserve">Aerospace Engineer</w:t>
      </w:r>
      <w:r>
        <w:t xml:space="preserve">. Success depends not only on technological prowess but also on deep understanding of local regulatory frameworks and environmental realities specific to</w:t>
      </w:r>
      <w:r>
        <w:t xml:space="preserve"> </w:t>
      </w:r>
      <w:r>
        <w:rPr>
          <w:bCs/>
          <w:b/>
        </w:rPr>
        <w:t xml:space="preserve">Indonesia Jakarta</w:t>
      </w:r>
      <w:r>
        <w:t xml:space="preserve">. Through collaboration between government bodies, engineering firms, and local communities, this project promises to significantly enhance Indonesia's aviation infrastructure.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Project Report: Indonesia Jakarta</dc:title>
  <dc:creator/>
  <dc:language>en</dc:language>
  <cp:keywords/>
  <dcterms:created xsi:type="dcterms:W3CDTF">2026-07-29T17:31:54Z</dcterms:created>
  <dcterms:modified xsi:type="dcterms:W3CDTF">2026-07-29T17:31:54Z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