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Services</w:t>
      </w:r>
      <w:r>
        <w:t xml:space="preserve"> </w:t>
      </w:r>
      <w:r>
        <w:t xml:space="preserve">in</w:t>
      </w:r>
      <w:r>
        <w:t xml:space="preserve"> </w:t>
      </w:r>
      <w:r>
        <w:t xml:space="preserve">Canada,</w:t>
      </w:r>
      <w:r>
        <w:t xml:space="preserve"> </w:t>
      </w:r>
      <w:r>
        <w:t xml:space="preserve">Toronto</w:t>
      </w:r>
    </w:p>
    <w:bookmarkStart w:id="32" w:name="X50d65edc998ccd3a45e59a93652077af6820582"/>
    <w:p>
      <w:pPr>
        <w:pStyle w:val="Heading1"/>
      </w:pPr>
      <w:r>
        <w:t xml:space="preserve">Project Report: Strategic Architectural Frameworks in Canada, Toronto</w:t>
      </w:r>
    </w:p>
    <w:p>
      <w:pPr>
        <w:pStyle w:val="FirstParagraph"/>
      </w:pPr>
      <w:r>
        <w:rPr>
          <w:bCs/>
          <w:b/>
        </w:rPr>
        <w:t xml:space="preserve">Date:</w:t>
      </w:r>
      <w:r>
        <w:t xml:space="preserve"> </w:t>
      </w:r>
      <w:r>
        <w:t xml:space="preserve">May 24, 2024</w:t>
      </w:r>
      <w:r>
        <w:br/>
      </w:r>
      <w:r>
        <w:rPr>
          <w:bCs/>
          <w:b/>
        </w:rPr>
        <w:t xml:space="preserve">To:</w:t>
      </w:r>
      <w:r>
        <w:t xml:space="preserve"> </w:t>
      </w:r>
      <w:r>
        <w:t xml:space="preserve">Municipal Planning Committee &amp; Stakeholders</w:t>
      </w:r>
      <w:r>
        <w:br/>
      </w:r>
    </w:p>
    <w:p>
      <w:pPr>
        <w:pStyle w:val="BodyText"/>
      </w:pPr>
      <w:r>
        <w:t xml:space="preserve">Senior Project Management Office</w:t>
      </w:r>
      <w:r>
        <w:br/>
      </w:r>
      <w:r>
        <w:t xml:space="preserve">Comprehensive Analysis of Architectural Requirements and Regulatory Compliance in Canada, Toronto</w:t>
      </w:r>
    </w:p>
    <w:bookmarkStart w:id="20" w:name="executive-summary"/>
    <w:p>
      <w:pPr>
        <w:pStyle w:val="Heading2"/>
      </w:pPr>
      <w:r>
        <w:t xml:space="preserve">1. Executive Summary</w:t>
      </w:r>
    </w:p>
    <w:p>
      <w:pPr>
        <w:pStyle w:val="FirstParagraph"/>
      </w:pPr>
      <w:r>
        <w:t xml:space="preserve">This</w:t>
      </w:r>
      <w:r>
        <w:t xml:space="preserve"> </w:t>
      </w:r>
      <w:r>
        <w:t xml:space="preserve">serves as a comprehensive overview of the architectural landscape within one of the most dynamic metropolitan areas in North America. As urbanization accelerates across</w:t>
      </w:r>
      <w:r>
        <w:t xml:space="preserve"> </w:t>
      </w:r>
      <w:r>
        <w:rPr>
          <w:iCs/>
          <w:i/>
          <w:bCs/>
          <w:b/>
        </w:rPr>
        <w:t xml:space="preserve">Canada Toronto</w:t>
      </w:r>
      <w:r>
        <w:t xml:space="preserve">, the role of a professional</w:t>
      </w:r>
      <w:r>
        <w:t xml:space="preserve"> </w:t>
      </w:r>
      <w:r>
        <w:rPr>
          <w:bCs/>
          <w:b/>
        </w:rPr>
        <w:t xml:space="preserve">Architect</w:t>
      </w:r>
      <w:r>
        <w:t xml:space="preserve"> </w:t>
      </w:r>
      <w:r>
        <w:t xml:space="preserve">becomes increasingly critical not only in aesthetic design but also in ensuring structural integrity, sustainability, and regulatory compliance. This report outlines the specific challenges and opportunities facing architectural projects in this region, emphasizing the necessity of adhering to strict local codes while fostering innovative urban development.</w:t>
      </w:r>
    </w:p>
    <w:bookmarkEnd w:id="20"/>
    <w:bookmarkStart w:id="21" w:name="Xad0efa3bb6697a5ca27afebe4b6babe29d7bbcf"/>
    <w:p>
      <w:pPr>
        <w:pStyle w:val="Heading2"/>
      </w:pPr>
      <w:r>
        <w:t xml:space="preserve">2. Introduction: The Context of Canada Toronto</w:t>
      </w:r>
    </w:p>
    <w:p>
      <w:pPr>
        <w:pStyle w:val="FirstParagraph"/>
      </w:pPr>
      <w:r>
        <w:t xml:space="preserve">The city of</w:t>
      </w:r>
      <w:r>
        <w:t xml:space="preserve"> </w:t>
      </w:r>
      <w:r>
        <w:rPr>
          <w:iCs/>
          <w:i/>
          <w:bCs/>
          <w:b/>
        </w:rPr>
        <w:t xml:space="preserve">Toronto</w:t>
      </w:r>
      <w:r>
        <w:t xml:space="preserve">, located in the province of Ontario within</w:t>
      </w:r>
      <w:r>
        <w:t xml:space="preserve"> </w:t>
      </w:r>
      <w:r>
        <w:rPr>
          <w:bCs/>
          <w:b/>
        </w:rPr>
        <w:t xml:space="preserve">Canada Toronto</w:t>
      </w:r>
      <w:r>
        <w:t xml:space="preserve">, is experiencing a period of unprecedented growth. With a population approaching six million in the greater metropolitan area, the demand for residential, commercial, and mixed-use spaces is at an all-time high. This expansion places significant pressure on existing infrastructure and necessitates thoughtful urban planning.</w:t>
      </w:r>
    </w:p>
    <w:p>
      <w:pPr>
        <w:pStyle w:val="BodyText"/>
      </w:pPr>
      <w:r>
        <w:t xml:space="preserve">In this context, the</w:t>
      </w:r>
      <w:r>
        <w:t xml:space="preserve"> </w:t>
      </w:r>
      <w:r>
        <w:rPr>
          <w:bCs/>
          <w:b/>
        </w:rPr>
        <w:t xml:space="preserve">Architect</w:t>
      </w:r>
      <w:r>
        <w:t xml:space="preserve"> </w:t>
      </w:r>
      <w:r>
        <w:t xml:space="preserve">acts as the primary conduit between societal needs and physical reality. The unique climatic conditions of</w:t>
      </w:r>
      <w:r>
        <w:t xml:space="preserve"> </w:t>
      </w:r>
      <w:r>
        <w:rPr>
          <w:iCs/>
          <w:i/>
          <w:bCs/>
          <w:b/>
        </w:rPr>
        <w:t xml:space="preserve">Toronto</w:t>
      </w:r>
      <w:r>
        <w:t xml:space="preserve">, characterized by harsh winters and humid summers, require designs that are not only visually compelling but also energy-efficient and resilient. Therefore, every project in this jurisdiction must prioritize passive design strategies and sustainable materials to reduce the environmental footprint.</w:t>
      </w:r>
    </w:p>
    <w:bookmarkEnd w:id="21"/>
    <w:bookmarkStart w:id="24" w:name="regulatory-landscape-and-compliance"/>
    <w:p>
      <w:pPr>
        <w:pStyle w:val="Heading2"/>
      </w:pPr>
      <w:r>
        <w:t xml:space="preserve">3. Regulatory Landscape and Compliance</w:t>
      </w:r>
    </w:p>
    <w:p>
      <w:pPr>
        <w:pStyle w:val="FirstParagraph"/>
      </w:pPr>
      <w:r>
        <w:t xml:space="preserve">Navigating the regulatory environment in</w:t>
      </w:r>
      <w:r>
        <w:t xml:space="preserve"> </w:t>
      </w:r>
      <w:r>
        <w:rPr>
          <w:iCs/>
          <w:i/>
          <w:bCs/>
          <w:b/>
        </w:rPr>
        <w:t xml:space="preserve">Toronto</w:t>
      </w:r>
      <w:r>
        <w:t xml:space="preserve">, part of</w:t>
      </w:r>
      <w:r>
        <w:t xml:space="preserve"> </w:t>
      </w:r>
      <w:r>
        <w:rPr>
          <w:bCs/>
          <w:b/>
        </w:rPr>
        <w:t xml:space="preserve">Canada Toronto</w:t>
      </w:r>
      <w:r>
        <w:t xml:space="preserve">, is a complex task that defines the workflow of any licensed</w:t>
      </w:r>
      <w:r>
        <w:t xml:space="preserve"> </w:t>
      </w:r>
      <w:r>
        <w:rPr>
          <w:iCs/>
          <w:i/>
          <w:bCs/>
          <w:b/>
        </w:rPr>
        <w:t xml:space="preserve">Architect</w:t>
      </w:r>
      <w:r>
        <w:t xml:space="preserve">. The primary governing body for building standards is the City of Toronto, which enforces its own zoning bylaws in conjunction with the National Building Code of Canada.</w:t>
      </w:r>
    </w:p>
    <w:bookmarkStart w:id="22" w:name="zoning-bylaws-and-density"/>
    <w:p>
      <w:pPr>
        <w:pStyle w:val="Heading3"/>
      </w:pPr>
      <w:r>
        <w:t xml:space="preserve">3.1 Zoning Bylaws and Density</w:t>
      </w:r>
    </w:p>
    <w:p>
      <w:pPr>
        <w:pStyle w:val="FirstParagraph"/>
      </w:pPr>
      <w:r>
        <w:t xml:space="preserve">The</w:t>
      </w:r>
    </w:p>
    <w:p>
      <w:pPr>
        <w:pStyle w:val="BodyText"/>
      </w:pPr>
      <w:r>
        <w:rPr>
          <w:bCs/>
          <w:b/>
        </w:rPr>
        <w:t xml:space="preserve">Architect</w:t>
      </w:r>
      <w:r>
        <w:rPr>
          <w:iCs/>
          <w:i/>
        </w:rPr>
        <w:t xml:space="preserve">Architect</w:t>
      </w:r>
      <w:r>
        <w:t xml:space="preserve"> </w:t>
      </w:r>
      <w:r>
        <w:t xml:space="preserve">plays a pivotal role in negotiating variances that allow for higher density while respecting neighborhood character. Failure to accurately interpret these bylaws can lead to costly delays and legal complications.</w:t>
      </w:r>
    </w:p>
    <w:bookmarkEnd w:id="22"/>
    <w:bookmarkStart w:id="23" w:name="the-national-building-code-of-canada"/>
    <w:p>
      <w:pPr>
        <w:pStyle w:val="Heading3"/>
      </w:pPr>
      <w:r>
        <w:t xml:space="preserve">3.2 The National Building Code of Canada</w:t>
      </w:r>
    </w:p>
    <w:p>
      <w:pPr>
        <w:pStyle w:val="FirstParagraph"/>
      </w:pPr>
      <w:r>
        <w:t xml:space="preserve">Beyond local zoning, all projects in</w:t>
      </w:r>
      <w:r>
        <w:t xml:space="preserve"> </w:t>
      </w:r>
      <w:r>
        <w:rPr>
          <w:iCs/>
          <w:i/>
          <w:bCs/>
          <w:b/>
        </w:rPr>
        <w:t xml:space="preserve">Toronto</w:t>
      </w:r>
      <w:r>
        <w:t xml:space="preserve"> </w:t>
      </w:r>
      <w:r>
        <w:t xml:space="preserve">must comply with the National Building Code of Canada (NBCC). This code sets minimum standards for fire safety, accessibility (Ontario Accessibility Standards), energy efficiency, and structural safety. For an</w:t>
      </w:r>
      <w:r>
        <w:t xml:space="preserve"> </w:t>
      </w:r>
      <w:r>
        <w:rPr>
          <w:iCs/>
          <w:i/>
          <w:bCs/>
          <w:b/>
        </w:rPr>
        <w:t xml:space="preserve">Architect</w:t>
      </w:r>
      <w:r>
        <w:t xml:space="preserve">, interpreting these codes is not merely a bureaucratic hurdle but a fundamental ethical obligation to ensure the safety and well-being of occupants.</w:t>
      </w:r>
    </w:p>
    <w:bookmarkEnd w:id="23"/>
    <w:bookmarkEnd w:id="24"/>
    <w:bookmarkStart w:id="25" w:name="X48b4e18f2d1ce0dcfba6fa2079585bd50a5e76c"/>
    <w:p>
      <w:pPr>
        <w:pStyle w:val="Heading2"/>
      </w:pPr>
      <w:r>
        <w:t xml:space="preserve">4. Sustainability and Green Building Standards</w:t>
      </w:r>
    </w:p>
    <w:p>
      <w:pPr>
        <w:pStyle w:val="FirstParagraph"/>
      </w:pPr>
      <w:r>
        <w:t xml:space="preserve">In recent years,</w:t>
      </w:r>
      <w:r>
        <w:t xml:space="preserve"> </w:t>
      </w:r>
      <w:r>
        <w:rPr>
          <w:bCs/>
          <w:b/>
        </w:rPr>
        <w:t xml:space="preserve">Toronto</w:t>
      </w:r>
      <w:r>
        <w:t xml:space="preserve">, as part of</w:t>
      </w:r>
      <w:r>
        <w:t xml:space="preserve"> </w:t>
      </w:r>
      <w:r>
        <w:rPr>
          <w:bCs/>
          <w:b/>
        </w:rPr>
        <w:t xml:space="preserve">Canada Toronto’s</w:t>
      </w:r>
      <w:r>
        <w:t xml:space="preserve">, has committed aggressively to carbon reduction targets. The City's Green Standard is more stringent than the national baseline, requiring new developments to achieve specific energy performance metrics.</w:t>
      </w:r>
    </w:p>
    <w:p>
      <w:pPr>
        <w:pStyle w:val="BodyText"/>
      </w:pPr>
      <w:r>
        <w:t xml:space="preserve">An experienced</w:t>
      </w:r>
      <w:r>
        <w:t xml:space="preserve"> </w:t>
      </w:r>
      <w:r>
        <w:rPr>
          <w:iCs/>
          <w:i/>
          <w:bCs/>
          <w:b/>
        </w:rPr>
        <w:t xml:space="preserve">Architect</w:t>
      </w:r>
      <w:r>
        <w:t xml:space="preserve"> </w:t>
      </w:r>
      <w:r>
        <w:t xml:space="preserve">in this region must integrate green building practices from the earliest stages of design. This includes:</w:t>
      </w:r>
    </w:p>
    <w:p>
      <w:pPr>
        <w:numPr>
          <w:ilvl w:val="0"/>
          <w:numId w:val="1001"/>
        </w:numPr>
        <w:pStyle w:val="Compact"/>
      </w:pPr>
      <w:r>
        <w:rPr>
          <w:bCs/>
          <w:b/>
        </w:rPr>
        <w:t xml:space="preserve">Tall Buildings Green Standard:</w:t>
      </w:r>
      <w:r>
        <w:t xml:space="preserve">Achieving certification levels that minimize water usage and waste.</w:t>
      </w:r>
    </w:p>
    <w:p>
      <w:pPr>
        <w:numPr>
          <w:ilvl w:val="0"/>
          <w:numId w:val="1001"/>
        </w:numPr>
        <w:pStyle w:val="Compact"/>
      </w:pPr>
      <w:r>
        <w:rPr>
          <w:bCs/>
          <w:b/>
        </w:rPr>
        <w:t xml:space="preserve">EnerGuide Ratings:</w:t>
      </w:r>
      <w:r>
        <w:t xml:space="preserve">D designing homes and buildings to meet high-efficiency standards, reducing heating and cooling loads.</w:t>
      </w:r>
    </w:p>
    <w:p>
      <w:pPr>
        <w:numPr>
          <w:ilvl w:val="0"/>
          <w:numId w:val="1001"/>
        </w:numPr>
        <w:pStyle w:val="Compact"/>
      </w:pPr>
      <w:r>
        <w:rPr>
          <w:iCs/>
          <w:i/>
        </w:rPr>
        <w:t xml:space="preserve">Sustainable Materials</w:t>
      </w:r>
      <w:r>
        <w:t xml:space="preserve">: Specifying locally sourced materials to reduce carbon emissions associated with transportation, a key consideration for projects in</w:t>
      </w:r>
      <w:r>
        <w:t xml:space="preserve"> </w:t>
      </w:r>
      <w:r>
        <w:rPr>
          <w:iCs/>
          <w:i/>
          <w:bCs/>
          <w:b/>
        </w:rPr>
        <w:t xml:space="preserve">Toronto</w:t>
      </w:r>
      <w:r>
        <w:t xml:space="preserve">.</w:t>
      </w:r>
    </w:p>
    <w:bookmarkEnd w:id="25"/>
    <w:bookmarkStart w:id="28" w:name="design-challenges-and-opportunities"/>
    <w:p>
      <w:pPr>
        <w:pStyle w:val="Heading2"/>
      </w:pPr>
      <w:r>
        <w:t xml:space="preserve">5. Design Challenges and Opportunities</w:t>
      </w:r>
    </w:p>
    <w:p>
      <w:pPr>
        <w:pStyle w:val="FirstParagraph"/>
      </w:pPr>
      <w:r>
        <w:t xml:space="preserve">The physical landscape of</w:t>
      </w:r>
      <w:r>
        <w:t xml:space="preserve"> </w:t>
      </w:r>
      <w:r>
        <w:rPr>
          <w:bCs/>
          <w:b/>
        </w:rPr>
        <w:t xml:space="preserve">Toronto presents unique design challenges that an</w:t>
      </w:r>
      <w:r>
        <w:rPr>
          <w:bCs/>
          <w:b/>
        </w:rPr>
        <w:t xml:space="preserve"> </w:t>
      </w:r>
      <w:r>
        <w:rPr>
          <w:iCs/>
          <w:i/>
          <w:bCs/>
          <w:b/>
          <w:bCs/>
          <w:b/>
        </w:rPr>
        <w:t xml:space="preserve">Architect</w:t>
      </w:r>
    </w:p>
    <w:bookmarkStart w:id="26" w:name="mixed-use-developments"/>
    <w:p>
      <w:pPr>
        <w:pStyle w:val="Heading3"/>
      </w:pPr>
      <w:r>
        <w:t xml:space="preserve">5.1 Mixed-Use Developments</w:t>
      </w:r>
    </w:p>
    <w:p>
      <w:pPr>
        <w:pStyle w:val="FirstParagraph"/>
      </w:pPr>
      <w:r>
        <w:t xml:space="preserve">The modern trend in</w:t>
      </w:r>
      <w:r>
        <w:t xml:space="preserve"> </w:t>
      </w:r>
      <w:r>
        <w:rPr>
          <w:bCs/>
          <w:b/>
        </w:rPr>
        <w:t xml:space="preserve">Toronto</w:t>
      </w:r>
      <w:r>
        <w:t xml:space="preserve">,</w:t>
      </w:r>
      <w:r>
        <w:t xml:space="preserve"> </w:t>
      </w:r>
      <w:r>
        <w:rPr>
          <w:bCs/>
          <w:b/>
        </w:rPr>
        <w:t xml:space="preserve">Canada Toronto</w:t>
      </w:r>
      <w:r>
        <w:t xml:space="preserve">, favors mixed-use developments that combine residential, retail, and office spaces. This approach promotes walkability and reduces reliance on automobiles. The</w:t>
      </w:r>
      <w:r>
        <w:t xml:space="preserve"> </w:t>
      </w:r>
      <w:r>
        <w:rPr>
          <w:iCs/>
          <w:i/>
          <w:bCs/>
          <w:b/>
        </w:rPr>
        <w:t xml:space="preserve">Architect</w:t>
      </w:r>
      <w:r>
        <w:t xml:space="preserve"> </w:t>
      </w:r>
      <w:r>
        <w:t xml:space="preserve">is tasked with creating seamless transitions between these different uses, ensuring that noise pollution does not affect residents while maintaining vibrant public streetscapes.</w:t>
      </w:r>
    </w:p>
    <w:bookmarkEnd w:id="26"/>
    <w:bookmarkStart w:id="27" w:name="heritage-conservation"/>
    <w:p>
      <w:pPr>
        <w:pStyle w:val="Heading3"/>
      </w:pPr>
      <w:r>
        <w:t xml:space="preserve">5.2 Heritage Conservation</w:t>
      </w:r>
    </w:p>
    <w:p>
      <w:pPr>
        <w:pStyle w:val="FirstParagraph"/>
      </w:pPr>
      <w:r>
        <w:t xml:space="preserve">Toronto possesses a rich architectural heritage. Many projects involve the adaptive reuse of historic structures. In these instances, the</w:t>
      </w:r>
      <w:r>
        <w:t xml:space="preserve"> </w:t>
      </w:r>
      <w:r>
        <w:rPr>
          <w:bCs/>
          <w:b/>
        </w:rPr>
        <w:t xml:space="preserve">Architect</w:t>
      </w:r>
    </w:p>
    <w:bookmarkEnd w:id="27"/>
    <w:bookmarkEnd w:id="28"/>
    <w:bookmarkStart w:id="29" w:name="Xbbf83e31e16650912aaab3f005c7a57427d444f"/>
    <w:p>
      <w:pPr>
        <w:pStyle w:val="Heading2"/>
      </w:pPr>
      <w:r>
        <w:t xml:space="preserve">6. The Role of Technology in Modern Architecture</w:t>
      </w:r>
    </w:p>
    <w:p>
      <w:pPr>
        <w:pStyle w:val="FirstParagraph"/>
      </w:pPr>
      <w:r>
        <w:t xml:space="preserve">The practice of architecture in</w:t>
      </w:r>
    </w:p>
    <w:p>
      <w:pPr>
        <w:pStyle w:val="BodyText"/>
      </w:pPr>
      <w:r>
        <w:rPr>
          <w:iCs/>
          <w:i/>
        </w:rPr>
        <w:t xml:space="preserve">Toronto</w:t>
      </w:r>
      <w:r>
        <w:t xml:space="preserve">,</w:t>
      </w:r>
      <w:r>
        <w:t xml:space="preserve"> </w:t>
      </w:r>
      <w:r>
        <w:rPr>
          <w:bCs/>
          <w:b/>
        </w:rPr>
        <w:t xml:space="preserve">Canada Toronto,</w:t>
      </w:r>
      <w:r>
        <w:rPr>
          <w:iCs/>
          <w:i/>
        </w:rPr>
        <w:t xml:space="preserve">Architect</w:t>
      </w:r>
      <w:r>
        <w:t xml:space="preserve">.</w:t>
      </w:r>
    </w:p>
    <w:p>
      <w:pPr>
        <w:pStyle w:val="BodyText"/>
      </w:pPr>
      <w:r>
        <w:t xml:space="preserve">BIM enables stakeholders to visualize the project in three dimensions before construction begins, identifying potential clashes in MEP (Mechanical, Electrical, Plumbing) systems. This technology is crucial for managing the complexity of high-rise developments common in</w:t>
      </w:r>
      <w:r>
        <w:t xml:space="preserve"> </w:t>
      </w:r>
      <w:r>
        <w:rPr>
          <w:iCs/>
          <w:i/>
          <w:bCs/>
          <w:b/>
        </w:rPr>
        <w:t xml:space="preserve">Toronto</w:t>
      </w:r>
      <w:r>
        <w:t xml:space="preserve">. Furthermore, parametric design tools are being used to optimize building facades for solar gain and shading, further enhancing energy efficiency.</w:t>
      </w:r>
    </w:p>
    <w:bookmarkEnd w:id="29"/>
    <w:bookmarkStart w:id="30" w:name="X80694ae9d0d29b3959b15e521254429ee30f921"/>
    <w:p>
      <w:pPr>
        <w:pStyle w:val="Heading2"/>
      </w:pPr>
      <w:r>
        <w:t xml:space="preserve">7. Community Engagement and Social Responsibility</w:t>
      </w:r>
    </w:p>
    <w:p>
      <w:pPr>
        <w:pStyle w:val="FirstParagraph"/>
      </w:pPr>
      <w:r>
        <w:t xml:space="preserve">An integral part of an</w:t>
      </w:r>
      <w:r>
        <w:t xml:space="preserve"> </w:t>
      </w:r>
      <w:r>
        <w:rPr>
          <w:iCs/>
          <w:i/>
          <w:bCs/>
          <w:b/>
        </w:rPr>
        <w:t xml:space="preserve">Toronto</w:t>
      </w:r>
      <w:r>
        <w:t xml:space="preserve">,</w:t>
      </w:r>
    </w:p>
    <w:p>
      <w:pPr>
        <w:pStyle w:val="BodyText"/>
      </w:pPr>
      <w:r>
        <w:t xml:space="preserve">Canada Toronto,</w:t>
      </w:r>
      <w:r>
        <w:rPr>
          <w:iCs/>
          <w:i/>
        </w:rPr>
        <w:t xml:space="preserve">Architect</w:t>
      </w:r>
      <w:r>
        <w:t xml:space="preserve"> </w:t>
      </w:r>
      <w:r>
        <w:t xml:space="preserve">must act as a communicator, translating technical design proposals into accessible visualizations that the public can understand.</w:t>
      </w:r>
    </w:p>
    <w:p>
      <w:pPr>
        <w:pStyle w:val="BodyText"/>
      </w:pPr>
      <w:r>
        <w:t xml:space="preserve">Social responsibility also extends to affordability. With the housing crisis affecting</w:t>
      </w:r>
    </w:p>
    <w:p>
      <w:pPr>
        <w:pStyle w:val="BodyText"/>
      </w:pPr>
      <w:r>
        <w:rPr>
          <w:iCs/>
          <w:i/>
        </w:rPr>
        <w:t xml:space="preserve">Toronto</w:t>
      </w:r>
      <w:r>
        <w:t xml:space="preserve">, many firms are incorporating affordable housing units into their projects to meet city mandates. The</w:t>
      </w:r>
      <w:r>
        <w:t xml:space="preserve"> </w:t>
      </w:r>
      <w:r>
        <w:rPr>
          <w:iCs/>
          <w:i/>
          <w:bCs/>
          <w:b/>
        </w:rPr>
        <w:t xml:space="preserve">Architect</w:t>
      </w:r>
      <w:r>
        <w:t xml:space="preserve"> </w:t>
      </w:r>
      <w:r>
        <w:t xml:space="preserve">must design these units with the same level of quality and dignity as market-rate units, ensuring inclusive communities.</w:t>
      </w:r>
    </w:p>
    <w:bookmarkEnd w:id="30"/>
    <w:bookmarkStart w:id="31" w:name="conclusion"/>
    <w:p>
      <w:pPr>
        <w:pStyle w:val="Heading2"/>
      </w:pPr>
      <w:r>
        <w:t xml:space="preserve">8. Conclusion</w:t>
      </w:r>
    </w:p>
    <w:p>
      <w:pPr>
        <w:pStyle w:val="FirstParagraph"/>
      </w:pPr>
      <w:r>
        <w:t xml:space="preserve">In conclusion, the role of an</w:t>
      </w:r>
      <w:r>
        <w:t xml:space="preserve"> </w:t>
      </w:r>
      <w:r>
        <w:rPr>
          <w:iCs/>
          <w:i/>
          <w:bCs/>
          <w:b/>
        </w:rPr>
        <w:t xml:space="preserve">Toronto</w:t>
      </w:r>
      <w:r>
        <w:t xml:space="preserve">,</w:t>
      </w:r>
      <w:r>
        <w:t xml:space="preserve"> </w:t>
      </w:r>
      <w:r>
        <w:rPr>
          <w:bCs/>
          <w:b/>
        </w:rPr>
        <w:t xml:space="preserve">Canada Toronto,</w:t>
      </w:r>
      <w:r>
        <w:t xml:space="preserve">-based</w:t>
      </w:r>
      <w:r>
        <w:t xml:space="preserve"> </w:t>
      </w:r>
      <w:r>
        <w:rPr>
          <w:iCs/>
          <w:i/>
          <w:bCs/>
          <w:b/>
        </w:rPr>
        <w:t xml:space="preserve">Architect</w:t>
      </w:r>
    </w:p>
    <w:p>
      <w:pPr>
        <w:pStyle w:val="BodyText"/>
      </w:pPr>
      <w:r>
        <w:t xml:space="preserve">This</w:t>
      </w:r>
      <w:r>
        <w:t xml:space="preserve"> </w:t>
      </w:r>
      <w:r>
        <w:rPr>
          <w:bCs/>
          <w:b/>
        </w:rPr>
        <w:t xml:space="preserve">Project Report</w:t>
      </w:r>
      <w:r>
        <w:rPr>
          <w:iCs/>
          <w:i/>
        </w:rPr>
        <w:t xml:space="preserve">Toronto</w:t>
      </w:r>
      <w:r>
        <w:t xml:space="preserve">, within the broader context of</w:t>
      </w:r>
      <w:r>
        <w:t xml:space="preserve"> </w:t>
      </w:r>
      <w:r>
        <w:rPr>
          <w:bCs/>
          <w:b/>
        </w:rPr>
        <w:t xml:space="preserve">Canada Toronto,</w:t>
      </w:r>
    </w:p>
    <w:p>
      <w:pPr>
        <w:pStyle w:val="BodyText"/>
      </w:pPr>
      <w:r>
        <w:t xml:space="preserve">It is recommended that all stakeholders prioritize early engagement with qualified architectural firms familiar with local bylaws in</w:t>
      </w:r>
    </w:p>
    <w:p>
      <w:pPr>
        <w:pStyle w:val="BodyText"/>
      </w:pPr>
      <w:r>
        <w:rPr>
          <w:iCs/>
          <w:i/>
        </w:rPr>
        <w:t xml:space="preserve">Toronto</w:t>
      </w:r>
      <w:r>
        <w:t xml:space="preserve">. By doing so, projects can avoid pitfalls related to zoning and code compliance while maximizing their potential for sustainable and community-oriented design. The path forward for</w:t>
      </w:r>
    </w:p>
    <w:p>
      <w:pPr>
        <w:pStyle w:val="BodyText"/>
      </w:pPr>
      <w:r>
        <w:rPr>
          <w:iCs/>
          <w:i/>
        </w:rPr>
        <w:t xml:space="preserve">Canada Toronto’s</w:t>
      </w:r>
      <w:r>
        <w:t xml:space="preserve"> </w:t>
      </w:r>
      <w:r>
        <w:t xml:space="preserve">urban landscape lies in the hands of architects who are committed to excellence, safety, and environmental stewardship.</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Services in Canada, Toronto</dc:title>
  <dc:creator/>
  <cp:keywords/>
  <dcterms:created xsi:type="dcterms:W3CDTF">2026-07-29T06:43:51Z</dcterms:created>
  <dcterms:modified xsi:type="dcterms:W3CDTF">2026-07-29T06:43:51Z</dcterms:modified>
</cp:coreProperties>
</file>

<file path=docProps/custom.xml><?xml version="1.0" encoding="utf-8"?>
<Properties xmlns="http://schemas.openxmlformats.org/officeDocument/2006/custom-properties" xmlns:vt="http://schemas.openxmlformats.org/officeDocument/2006/docPropsVTypes"/>
</file>