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8f7fb16b696491162dafdf682eee522d1c98b7"/>
    <w:p>
      <w:pPr>
        <w:pStyle w:val="Heading1"/>
      </w:pPr>
      <w:r>
        <w:t xml:space="preserve">Project Report: The Critical Role of the Architect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p>
    <w:p>
      <w:pPr>
        <w:pStyle w:val="BodyText"/>
      </w:pPr>
      <w:r>
        <w:t xml:space="preserve">Project Management Office</w:t>
      </w:r>
      <w:r>
        <w:br/>
      </w:r>
      <w:r>
        <w:t xml:space="preserve">The Strategic Importance of Hiring an Architect for Projects in New Zealand, Wellington</w:t>
      </w:r>
    </w:p>
    <w:p>
      <w:pPr>
        <w:pStyle w:val="BodyText"/>
      </w:pPr>
      <w:r>
        <w:t xml:space="preserve">2. Contextual Background: Wellington’s Unique Environment</w:t>
      </w:r>
    </w:p>
    <w:p>
      <w:pPr>
        <w:pStyle w:val="BodyText"/>
      </w:pPr>
      <w:r>
        <w:t xml:space="preserve">New Zealand, Wellington stands as a distinct architectural landscape characterized by steep topography, a temperate maritime climate with high wind exposure, and proximity to active fault lines. The city is built on alluvial soils that present specific engineering challenges during seismic events. Consequently, the design phase is critical in mitigating these natural risks before construction begins. Unlike many other global cities, Wellington’s urban fabric is dense and historic in certain suburbs while simultaneously striving for modern sustainability goals in new developments like Te Aro and Mount Cook.</w:t>
      </w:r>
    </w:p>
    <w:p>
      <w:pPr>
        <w:pStyle w:val="BodyText"/>
      </w:pPr>
      <w:r>
        <w:t xml:space="preserve">In this unique environment, an Architect serves as the primary coordinator between geotechnical engineers, structural engineers, and environmental consultants. Without the holistic vision provided by an Architect, projects risk failing to integrate seamlessly with Wellington’s complex geological and urban constraints. The city’s identity is deeply tied to its relationship with the harbor (Te Whanganui-a-Tara) and its volcanic heritage; therefore, architectural responses must respect these geographical realities while pushing forward innovative building technologies.</w:t>
      </w:r>
    </w:p>
    <w:bookmarkStart w:id="20" w:name="X0d1f501f1e7831a2a5f65b58195d85d5b99de4f"/>
    <w:p>
      <w:pPr>
        <w:pStyle w:val="Heading2"/>
      </w:pPr>
      <w:r>
        <w:t xml:space="preserve">3. Regulatory Compliance and the Building Act</w:t>
      </w:r>
    </w:p>
    <w:p>
      <w:pPr>
        <w:pStyle w:val="FirstParagraph"/>
      </w:pPr>
      <w:r>
        <w:t xml:space="preserve">In New Zealand, all construction projects must adhere to the Building Act 2004 and the New Zealand Building Code (NZBC). While a Licensed Builder or Project Manager may oversee physical construction, an Architect plays a pivotal role in navigating these regulations. Specifically, the NZBC imposes strict requirements regarding structural stability (Clause B), fire safety (Clause C), and accessibility (Clause F).</w:t>
      </w:r>
    </w:p>
    <w:p>
      <w:pPr>
        <w:pStyle w:val="BodyText"/>
      </w:pPr>
      <w:r>
        <w:t xml:space="preserve">In Wellington, local council bylaws often impose additional layers of scrutiny beyond the national code. For instance, heritage overlays in areas like Thorndon or Kelburn require an Architect to conduct thorough historical assessments to ensure new interventions respect existing cultural narratives. An Architect ensures that plans submitted for consent are not only legally compliant but also robust against common objections from the Wellington City Council’s building consent authority. This reduces approval times and prevents costly redesigns during the construction phase, thereby protecting the project’s financial viability.</w:t>
      </w:r>
    </w:p>
    <w:bookmarkEnd w:id="20"/>
    <w:bookmarkStart w:id="21" w:name="X3c55b3e6588aed3fd195d39bb622d22700c235e"/>
    <w:p>
      <w:pPr>
        <w:pStyle w:val="Heading2"/>
      </w:pPr>
      <w:r>
        <w:t xml:space="preserve">4. Seismic Resilience and Structural Integrity</w:t>
      </w:r>
    </w:p>
    <w:p>
      <w:pPr>
        <w:pStyle w:val="FirstParagraph"/>
      </w:pPr>
      <w:r>
        <w:t xml:space="preserve">The most pressing concern for any Architect working in New Zealand, Wellington is seismic resilience. Following the lessons learned from past earthquakes that have affected the South Island and influenced national standards nationwide, Wellington has become a testing ground for advanced earthquake-resistant design technologies. An Architect must collaborate closely with structural engineers to ensure that the aesthetic form of a building does not compromise its lateral load-resisting systems.</w:t>
      </w:r>
    </w:p>
    <w:p>
      <w:pPr>
        <w:pStyle w:val="BodyText"/>
      </w:pPr>
      <w:r>
        <w:t xml:space="preserve">This collaboration involves selecting appropriate materials and construction methods—such as base isolation or damping systems—that can be integrated into the architectural layout without sacrificing spatial efficiency. The Architect’s role is to translate complex engineering solutions into buildable, aesthetically pleasing spaces. For example, ensuring that core walls required for structural stability are positioned efficiently within a residential apartment block in Wellington’s growing inner-city suburbs requires sophisticated design thinking that only an experienced Architect can provide.</w:t>
      </w:r>
    </w:p>
    <w:bookmarkEnd w:id="21"/>
    <w:bookmarkStart w:id="22" w:name="Xa647aea48943cf6d5aff0b1f0917ee920c7952d"/>
    <w:p>
      <w:pPr>
        <w:pStyle w:val="Heading2"/>
      </w:pPr>
      <w:r>
        <w:t xml:space="preserve">5. Sustainability and Environmental Stewardship</w:t>
      </w:r>
    </w:p>
    <w:p>
      <w:pPr>
        <w:pStyle w:val="FirstParagraph"/>
      </w:pPr>
      <w:r>
        <w:t xml:space="preserve">New Zealand is committed to reducing carbon emissions, and Wellington has set ambitious targets for sustainable urban living. An Architect is instrumental in achieving these goals through passive design strategies. This includes orienting buildings to maximize natural light while minimizing solar heat gain, utilizing cross-ventilation to reduce reliance on mechanical cooling, and specifying locally sourced materials to lower embodied carbon.</w:t>
      </w:r>
    </w:p>
    <w:p>
      <w:pPr>
        <w:pStyle w:val="BodyText"/>
      </w:pPr>
      <w:r>
        <w:t xml:space="preserve">In the context of Wellington’s wind tunnel effects created by its hills and harbor layout, an Architect must also address wind comfort for pedestrians surrounding high-rise developments. Furthermore, water management is crucial in a city prone to stormwater overflow issues. An Architect integrates green roofs, rainwater harvesting systems, and permeable surfaces into the design to manage runoff effectively. By embedding sustainability into the core concept of a project rather than treating it as an add-on, an Architect ensures that developments in New Zealand, Wellington contribute positively to the city’s environmental health and meet Green Star certification standards where applicable.</w:t>
      </w:r>
    </w:p>
    <w:bookmarkEnd w:id="22"/>
    <w:bookmarkStart w:id="23" w:name="X2b97cc4fc2b9bfe7c4d7809a171d85c44a8f888"/>
    <w:p>
      <w:pPr>
        <w:pStyle w:val="Heading2"/>
      </w:pPr>
      <w:r>
        <w:t xml:space="preserve">6. Cultural Responsiveness and Te Tiriti o Waitangi</w:t>
      </w:r>
    </w:p>
    <w:p>
      <w:pPr>
        <w:pStyle w:val="FirstParagraph"/>
      </w:pPr>
      <w:r>
        <w:t xml:space="preserve">A critical aspect of contemporary architecture in New Zealand is the acknowledgment of Te Tiriti o Waitangi (The Treaty of Waitangi). This bicultural foundation requires that public and significant private projects engage with local iwi (Māori tribes), particularly Te Whanau-ā-Apia and Ngāti Toa Rangatira in the Wellington region. An Architect facilitates this process by ensuring that design concepts incorporate Māori values, narratives, and taonga (treasures).</w:t>
      </w:r>
    </w:p>
    <w:p>
      <w:pPr>
        <w:pStyle w:val="BodyText"/>
      </w:pPr>
      <w:r>
        <w:t xml:space="preserve">This may involve integrating traditional patterns (whakairo) into modern materials, creating spaces for waiata (song) and hui (meetings), or respecting tapu (sacred restrictions) in site design. An Architect acts as a cultural broker, ensuring that the built environment reflects the mana of both tangata whenua and the wider community. Ignoring this aspect can lead to community opposition, legal challenges, and reputational damage for developers. Therefore, an Architect’s ability to navigate bicultural frameworks is essential for social license to operate in Wellington.</w:t>
      </w:r>
    </w:p>
    <w:bookmarkEnd w:id="23"/>
    <w:bookmarkStart w:id="24" w:name="Xb70105d8725dc0ce5843a110f78affecc1b05e3"/>
    <w:p>
      <w:pPr>
        <w:pStyle w:val="Heading2"/>
      </w:pPr>
      <w:r>
        <w:t xml:space="preserve">7. Economic Efficiency and Value Engineering</w:t>
      </w:r>
    </w:p>
    <w:p>
      <w:pPr>
        <w:pStyle w:val="FirstParagraph"/>
      </w:pPr>
      <w:r>
        <w:t xml:space="preserve">While some may perceive an Architect as a cost center, their involvement typically results in significant long-term savings. Through value engineering, an Architect optimizes material usage and construction sequencing. In Wellington’s high-cost market, where labor and materials are expensive due to logistics constraints associated with the city’s geography (including limited road access in hilly suburbs), precise architectural detailing prevents waste.</w:t>
      </w:r>
    </w:p>
    <w:p>
      <w:pPr>
        <w:pStyle w:val="BodyText"/>
      </w:pPr>
      <w:r>
        <w:t xml:space="preserve">Moreover, well-designed buildings command higher property values and rental yields. Aesthetically pleasing, functional, and energy-efficient spaces attract tenants and buyers who prioritize quality of life. In a competitive real estate market like Wellington’s, the differentiation provided by thoughtful architectural design is a key asset for investors.</w:t>
      </w:r>
    </w:p>
    <w:bookmarkEnd w:id="24"/>
    <w:bookmarkStart w:id="25" w:name="conclusion"/>
    <w:p>
      <w:pPr>
        <w:pStyle w:val="Heading2"/>
      </w:pPr>
      <w:r>
        <w:t xml:space="preserve">8. Conclusion</w:t>
      </w:r>
    </w:p>
    <w:p>
      <w:pPr>
        <w:pStyle w:val="FirstParagraph"/>
      </w:pPr>
      <w:r>
        <w:t xml:space="preserve">In conclusion, the engagement of an Architect is fundamental to the success of any development project in New Zealand, Wellington. From addressing complex seismic and wind challenges to ensuring regulatory compliance, promoting sustainability, and honoring cultural obligations, the Architect provides a comprehensive solution that balances technical precision with creative vision. As Wellington continues to grow as a major urban center in the Asia-Pacific region, the need for skilled Architects who understand the specific nuances of this unique city becomes increasingly critical. Stakeholders are strongly advised to prioritize architectural expertise early in the project lifecycle to ensure safety, sustainability, and long-term value for their investments.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New Zealand, Wellington</dc:title>
  <dc:creator/>
  <dc:language>en</dc:language>
  <cp:keywords/>
  <dcterms:created xsi:type="dcterms:W3CDTF">2026-07-29T16:19:34Z</dcterms:created>
  <dcterms:modified xsi:type="dcterms:W3CDTF">2026-07-29T16:19:34Z</dcterms:modified>
</cp:coreProperties>
</file>

<file path=docProps/custom.xml><?xml version="1.0" encoding="utf-8"?>
<Properties xmlns="http://schemas.openxmlformats.org/officeDocument/2006/custom-properties" xmlns:vt="http://schemas.openxmlformats.org/officeDocument/2006/docPropsVTypes"/>
</file>