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0" w:name="X8ab25db8d4def9e3cd8526a229ce01fdcb05a09"/>
    <w:p>
      <w:pPr>
        <w:pStyle w:val="Heading1"/>
      </w:pPr>
      <w:r>
        <w:t xml:space="preserve">Project Report: Strategic Implementation of Auditor Services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Committee</w:t>
      </w:r>
      <w:r>
        <w:br/>
      </w:r>
    </w:p>
    <w:bookmarkStart w:id="20" w:name="executive-summary"/>
    <w:p>
      <w:pPr>
        <w:pStyle w:val="Heading2"/>
      </w:pPr>
      <w:r>
        <w:t xml:space="preserve">1. Executive Summary</w:t>
      </w:r>
    </w:p>
    <w:p>
      <w:pPr>
        <w:pStyle w:val="FirstParagraph"/>
      </w:pPr>
      <w:r>
        <w:t xml:space="preserve">This Project Report outlines the strategic framework, operational requirements, and regulatory compliance measures necessary for deploying a high-standard</w:t>
      </w:r>
      <w:r>
        <w:t xml:space="preserve"> </w:t>
      </w:r>
      <w:r>
        <w:rPr>
          <w:bCs/>
          <w:b/>
        </w:rPr>
        <w:t xml:space="preserve">Auditor</w:t>
      </w:r>
      <w:r>
        <w:t xml:space="preserve"> </w:t>
      </w:r>
      <w:r>
        <w:t xml:space="preserve">service within</w:t>
      </w:r>
      <w:r>
        <w:t xml:space="preserve"> </w:t>
      </w:r>
      <w:r>
        <w:rPr>
          <w:bCs/>
          <w:b/>
        </w:rPr>
        <w:t xml:space="preserve">Colombia Bogotá</w:t>
      </w:r>
      <w:r>
        <w:t xml:space="preserve">. As a burgeoning economic hub in Latin America, the capital city presents significant opportunities for financial transparency and corporate governance. However, it also demands rigorous adherence to local statutory requirements established by the Superintendencia de Industria y Comercio (SIC) and international auditing standards. The primary objective of this project is to ensure that all financial reporting mechanisms are robust, transparent, and aligned with both Colombian law (the Commercial Code) and International Standards on Auditing (ISA). This report details the market landscape in</w:t>
      </w:r>
      <w:r>
        <w:t xml:space="preserve"> </w:t>
      </w:r>
      <w:r>
        <w:rPr>
          <w:bCs/>
          <w:b/>
        </w:rPr>
        <w:t xml:space="preserve">Colombia Bogotá</w:t>
      </w:r>
      <w:r>
        <w:t xml:space="preserve">, the specific role of the certified</w:t>
      </w:r>
      <w:r>
        <w:t xml:space="preserve"> </w:t>
      </w:r>
      <w:r>
        <w:rPr>
          <w:bCs/>
          <w:b/>
        </w:rPr>
        <w:t xml:space="preserve">Auditor</w:t>
      </w:r>
      <w:r>
        <w:t xml:space="preserve">, and the implementation roadmap for ensuring full legal compliance.</w:t>
      </w:r>
    </w:p>
    <w:bookmarkEnd w:id="20"/>
    <w:bookmarkStart w:id="23" w:name="X541f1090d0928781fbf437cee359edebb323085"/>
    <w:p>
      <w:pPr>
        <w:pStyle w:val="Heading2"/>
      </w:pPr>
      <w:r>
        <w:t xml:space="preserve">2. Market Context: The Importance of Auditing in Colombia Bogotá</w:t>
      </w:r>
    </w:p>
    <w:p>
      <w:pPr>
        <w:pStyle w:val="FirstParagraph"/>
      </w:pPr>
      <w:r>
        <w:t xml:space="preserve">Bogotá, Colombia, serves as the financial and administrative heart of the nation. Over recent years, there has been a marked increase in regulatory scrutiny regarding corporate financial practices within this region.</w:t>
      </w:r>
    </w:p>
    <w:p>
      <w:pPr>
        <w:pStyle w:val="BodyText"/>
      </w:pPr>
      <w:r>
        <w:t xml:space="preserve">The demand for independent verification services has surged due to:</w:t>
      </w:r>
    </w:p>
    <w:p>
      <w:pPr>
        <w:numPr>
          <w:ilvl w:val="0"/>
          <w:numId w:val="1001"/>
        </w:numPr>
        <w:pStyle w:val="Compact"/>
      </w:pPr>
      <w:r>
        <w:rPr>
          <w:bCs/>
          <w:b/>
        </w:rPr>
        <w:t xml:space="preserve">Growth in Foreign Direct Investment (FDI):</w:t>
      </w:r>
      <w:r>
        <w:t xml:space="preserve"> </w:t>
      </w:r>
      <w:r>
        <w:t xml:space="preserve">International investors require assurance that local entities comply with global accounting standards before committing capital.</w:t>
      </w:r>
    </w:p>
    <w:p>
      <w:pPr>
        <w:numPr>
          <w:ilvl w:val="0"/>
          <w:numId w:val="1001"/>
        </w:numPr>
        <w:pStyle w:val="Compact"/>
      </w:pPr>
      <w:r>
        <w:rPr>
          <w:bCs/>
          <w:b/>
        </w:rPr>
        <w:t xml:space="preserve">Tax Compliance Requirements:</w:t>
      </w:r>
    </w:p>
    <w:p>
      <w:pPr>
        <w:numPr>
          <w:ilvl w:val="0"/>
          <w:numId w:val="1000"/>
        </w:numPr>
        <w:pStyle w:val="Compact"/>
      </w:pPr>
      <w:r>
        <w:t xml:space="preserve">The Colombian National Tax and Customs Directorate (DIAN) has intensified its audit processes. A competent</w:t>
      </w:r>
      <w:r>
        <w:t xml:space="preserve"> </w:t>
      </w:r>
      <w:r>
        <w:rPr>
          <w:bCs/>
          <w:b/>
        </w:rPr>
        <w:t xml:space="preserve">Auditor</w:t>
      </w:r>
      <w:r>
        <w:t xml:space="preserve"> </w:t>
      </w:r>
      <w:r>
        <w:t xml:space="preserve">acts as a critical buffer, ensuring that companies are prepared for tax reviews and avoid penalizations.</w:t>
      </w:r>
    </w:p>
    <w:p>
      <w:pPr>
        <w:numPr>
          <w:ilvl w:val="0"/>
          <w:numId w:val="1001"/>
        </w:numPr>
        <w:pStyle w:val="Compact"/>
      </w:pPr>
      <w:r>
        <w:rPr>
          <w:bCs/>
          <w:b/>
        </w:rPr>
        <w:t xml:space="preserve">Corporate Governance Standards:</w:t>
      </w:r>
    </w:p>
    <w:p>
      <w:pPr>
        <w:numPr>
          <w:ilvl w:val="0"/>
          <w:numId w:val="1000"/>
        </w:numPr>
        <w:pStyle w:val="Compact"/>
      </w:pPr>
      <w:r>
        <w:t xml:space="preserve">Larger corporations in</w:t>
      </w:r>
      <w:r>
        <w:t xml:space="preserve"> </w:t>
      </w:r>
      <w:r>
        <w:rPr>
          <w:bCs/>
          <w:b/>
        </w:rPr>
        <w:t xml:space="preserve">Bogotá</w:t>
      </w:r>
      <w:r>
        <w:t xml:space="preserve">, particularly those listed on the Bogotá Stock Exchange (Bolsa de Valores de Colombia), are mandated by law to undergo external audits. This creates a stable, albeit regulated, market for professional auditing services.</w:t>
      </w:r>
    </w:p>
    <w:p>
      <w:pPr>
        <w:pStyle w:val="FirstParagraph"/>
      </w:pPr>
      <w:r>
        <w:t xml:space="preserve">Therefore, establishing a robust auditing framework in</w:t>
      </w:r>
      <w:r>
        <w:t xml:space="preserve"> </w:t>
      </w:r>
      <w:r>
        <w:rPr>
          <w:bCs/>
          <w:b/>
          <w:bCs/>
          <w:b/>
        </w:rPr>
        <w:t xml:space="preserve">Bogotá</w:t>
      </w:r>
    </w:p>
    <w:p>
      <w:pPr>
        <w:pStyle w:val="BodyText"/>
      </w:pPr>
      <w:r>
        <w:t xml:space="preserve">, the legal and ethical standards of an</w:t>
      </w:r>
      <w:r>
        <w:t xml:space="preserve"> </w:t>
      </w:r>
      <w:r>
        <w:rPr>
          <w:bCs/>
          <w:b/>
        </w:rPr>
        <w:t xml:space="preserve">Auditor</w:t>
      </w:r>
      <w:r>
        <w:t xml:space="preserve">. It is not merely about checking numbers; it is about providing assurance to stakeholders that the financial statements present a true and fair view of the entity's financial position.</w:t>
      </w:r>
    </w:p>
    <w:bookmarkStart w:id="21" w:name="Xec5b0ff5f49bfdfc86076e03f75c7fbb64e5ac1"/>
    <w:p>
      <w:pPr>
        <w:pStyle w:val="Heading3"/>
      </w:pPr>
      <w:r>
        <w:t xml:space="preserve">3.1 Regulatory Framework for Auditors in Colombia</w:t>
      </w:r>
    </w:p>
    <w:p>
      <w:pPr>
        <w:pStyle w:val="FirstParagraph"/>
      </w:pPr>
      <w:r>
        <w:t xml:space="preserve">The practice of auditing in</w:t>
      </w:r>
    </w:p>
    <w:p>
      <w:pPr>
        <w:pStyle w:val="BodyText"/>
      </w:pPr>
      <w:r>
        <w:rPr>
          <w:bCs/>
          <w:b/>
        </w:rPr>
        <w:t xml:space="preserve">Bogotá</w:t>
      </w:r>
    </w:p>
    <w:p>
      <w:pPr>
        <w:pStyle w:val="BodyText"/>
      </w:pPr>
      <w:r>
        <w:t xml:space="preserve">, must strictly adhere to:</w:t>
      </w:r>
    </w:p>
    <w:p>
      <w:pPr>
        <w:numPr>
          <w:ilvl w:val="0"/>
          <w:numId w:val="1002"/>
        </w:numPr>
        <w:pStyle w:val="Compact"/>
      </w:pPr>
      <w:r>
        <w:rPr>
          <w:bCs/>
          <w:b/>
        </w:rPr>
        <w:t xml:space="preserve">The Colombian Commercial Code (Código de Comercio):</w:t>
      </w:r>
    </w:p>
    <w:p>
      <w:pPr>
        <w:numPr>
          <w:ilvl w:val="0"/>
          <w:numId w:val="1000"/>
        </w:numPr>
        <w:pStyle w:val="Compact"/>
      </w:pPr>
      <w:r>
        <w:t xml:space="preserve">This code mandates annual audits for certain types of companies, including joint-stock companies (S.A.) and limited liability companies (S.R.L.) exceeding specific revenue thresholds.</w:t>
      </w:r>
    </w:p>
    <w:p>
      <w:pPr>
        <w:numPr>
          <w:ilvl w:val="0"/>
          <w:numId w:val="1002"/>
        </w:numPr>
        <w:pStyle w:val="Compact"/>
      </w:pPr>
      <w:r>
        <w:rPr>
          <w:bCs/>
          <w:b/>
        </w:rPr>
        <w:t xml:space="preserve">Resolution 031 of 2019:</w:t>
      </w:r>
    </w:p>
    <w:p>
      <w:pPr>
        <w:numPr>
          <w:ilvl w:val="0"/>
          <w:numId w:val="1000"/>
        </w:numPr>
        <w:pStyle w:val="Compact"/>
      </w:pPr>
      <w:r>
        <w:t xml:space="preserve">This regulation issued by the Ministry of Commerce, Industry and Tourism establishes the mandatory nature of financial audits for large taxpayers in Colombia. An</w:t>
      </w:r>
      <w:r>
        <w:t xml:space="preserve"> </w:t>
      </w:r>
      <w:r>
        <w:rPr>
          <w:bCs/>
          <w:b/>
        </w:rPr>
        <w:t xml:space="preserve">Auditor</w:t>
      </w:r>
    </w:p>
    <w:p>
      <w:pPr>
        <w:numPr>
          <w:ilvl w:val="0"/>
          <w:numId w:val="1000"/>
        </w:numPr>
        <w:pStyle w:val="Compact"/>
      </w:pPr>
      <w:r>
        <w:t xml:space="preserve">, operating in</w:t>
      </w:r>
    </w:p>
    <w:p>
      <w:pPr>
        <w:numPr>
          <w:ilvl w:val="0"/>
          <w:numId w:val="1000"/>
        </w:numPr>
        <w:pStyle w:val="Compact"/>
      </w:pPr>
      <w:r>
        <w:rPr>
          <w:bCs/>
          <w:b/>
        </w:rPr>
        <w:t xml:space="preserve">Bogotá</w:t>
      </w:r>
    </w:p>
    <w:p>
      <w:pPr>
        <w:numPr>
          <w:ilvl w:val="0"/>
          <w:numId w:val="1000"/>
        </w:numPr>
        <w:pStyle w:val="Compact"/>
      </w:pPr>
      <w:r>
        <w:t xml:space="preserve">, must be registered with the SIC (Superintendencia de Industria y Comercio) to legally perform these functions.</w:t>
      </w:r>
    </w:p>
    <w:p>
      <w:pPr>
        <w:numPr>
          <w:ilvl w:val="0"/>
          <w:numId w:val="1002"/>
        </w:numPr>
        <w:pStyle w:val="Compact"/>
      </w:pPr>
      <w:r>
        <w:rPr>
          <w:bCs/>
          <w:b/>
        </w:rPr>
        <w:t xml:space="preserve">International Standards on Auditing (ISA):</w:t>
      </w:r>
    </w:p>
    <w:p>
      <w:pPr>
        <w:numPr>
          <w:ilvl w:val="0"/>
          <w:numId w:val="1000"/>
        </w:numPr>
        <w:pStyle w:val="Compact"/>
      </w:pPr>
      <w:r>
        <w:t xml:space="preserve">To maintain international credibility and facilitate cross-border business, auditors in</w:t>
      </w:r>
      <w:r>
        <w:t xml:space="preserve"> </w:t>
      </w:r>
      <w:r>
        <w:rPr>
          <w:bCs/>
          <w:b/>
        </w:rPr>
        <w:t xml:space="preserve">Bogotá</w:t>
      </w:r>
    </w:p>
    <w:p>
      <w:pPr>
        <w:numPr>
          <w:ilvl w:val="0"/>
          <w:numId w:val="1000"/>
        </w:numPr>
        <w:pStyle w:val="Compact"/>
      </w:pPr>
      <w:r>
        <w:t xml:space="preserve">, are increasingly expected to follow ISA guidelines alongside local regulations.</w:t>
      </w:r>
    </w:p>
    <w:bookmarkEnd w:id="21"/>
    <w:bookmarkStart w:id="22" w:name="section"/>
    <w:p>
      <w:pPr>
        <w:pStyle w:val="Heading3"/>
      </w:pPr>
    </w:p>
    <w:bookmarkEnd w:id="22"/>
    <w:bookmarkEnd w:id="23"/>
    <w:bookmarkStart w:id="28" w:name="section-1"/>
    <w:p>
      <w:pPr>
        <w:pStyle w:val="Heading2"/>
      </w:pPr>
    </w:p>
    <w:p>
      <w:pPr>
        <w:pStyle w:val="FirstParagraph"/>
      </w:pPr>
      <w:r>
        <w:t xml:space="preserve">4. Operational Strategy for Auditor Deployment in Bogotá Colombia&lt;\strong&gt;</w:t>
      </w:r>
    </w:p>
    <w:p>
      <w:pPr>
        <w:pStyle w:val="BodyText"/>
      </w:pPr>
      <w:r>
        <w:t xml:space="preserve">This section details the step-by-step approach to integrating an</w:t>
      </w:r>
      <w:r>
        <w:t xml:space="preserve"> </w:t>
      </w:r>
      <w:r>
        <w:rPr>
          <w:bCs/>
          <w:b/>
        </w:rPr>
        <w:t xml:space="preserve">Auditor</w:t>
      </w:r>
    </w:p>
    <w:p>
      <w:pPr>
        <w:pStyle w:val="BodyText"/>
      </w:pPr>
      <w:r>
        <w:t xml:space="preserve">, function into the organizational structure within</w:t>
      </w:r>
      <w:r>
        <w:t xml:space="preserve"> </w:t>
      </w:r>
      <w:r>
        <w:rPr>
          <w:bCs/>
          <w:b/>
        </w:rPr>
        <w:t xml:space="preserve">Bogotá, Colombia.</w:t>
      </w:r>
    </w:p>
    <w:p>
      <w:pPr>
        <w:pStyle w:val="BodyText"/>
      </w:pPr>
      <w:r>
        <w:t xml:space="preserve">.</w:t>
      </w:r>
    </w:p>
    <w:bookmarkStart w:id="26" w:name="selection-and-certification-of-personnel"/>
    <w:p>
      <w:pPr>
        <w:pStyle w:val="Heading4"/>
      </w:pPr>
      <w:r>
        <w:t xml:space="preserve">4.1 Selection and Certification of Personnel</w:t>
      </w:r>
    </w:p>
    <w:p>
      <w:pPr>
        <w:pStyle w:val="FirstParagraph"/>
      </w:pPr>
      <w:r>
        <w:t xml:space="preserve">The cornerstone of this project is the recruitment of a qualified</w:t>
      </w:r>
      <w:r>
        <w:t xml:space="preserve"> </w:t>
      </w:r>
      <w:r>
        <w:rPr>
          <w:bCs/>
          <w:b/>
        </w:rPr>
        <w:t xml:space="preserve">Auditor</w:t>
      </w:r>
    </w:p>
    <w:p>
      <w:pPr>
        <w:pStyle w:val="BodyText"/>
      </w:pPr>
      <w:r>
        <w:t xml:space="preserve">. In Colombia, this professional must hold the title of "Contador Público" (Public Accountant) and possess specific certification in auditing. The selection criteria include:</w:t>
      </w:r>
    </w:p>
    <w:p>
      <w:pPr>
        <w:numPr>
          <w:ilvl w:val="0"/>
          <w:numId w:val="1003"/>
        </w:numPr>
        <w:pStyle w:val="Compact"/>
      </w:pPr>
      <w:r>
        <w:t xml:space="preserve">Licensure from a recognized university in Colombia.</w:t>
      </w:r>
    </w:p>
    <w:p>
      <w:pPr>
        <w:numPr>
          <w:ilvl w:val="0"/>
          <w:numId w:val="1003"/>
        </w:numPr>
        <w:pStyle w:val="Compact"/>
      </w:pPr>
      <w:r>
        <w:t xml:space="preserve">Certification by the National Council of Public Accounting (CNCP).</w:t>
      </w:r>
    </w:p>
    <w:p>
      <w:pPr>
        <w:numPr>
          <w:ilvl w:val="0"/>
          <w:numId w:val="1003"/>
        </w:numPr>
      </w:pPr>
      <w:r>
        <w:t xml:space="preserve">Demonstrated experience with Colombian tax laws and IFRS (International Financial Reporting Standards) as adopted in Colombia.</w:t>
      </w:r>
    </w:p>
    <w:p>
      <w:pPr>
        <w:numPr>
          <w:ilvl w:val="0"/>
          <w:numId w:val="1000"/>
        </w:numPr>
      </w:pPr>
      <w:r>
        <w:t xml:space="preserve">.</w:t>
      </w:r>
    </w:p>
    <w:p>
      <w:pPr>
        <w:numPr>
          <w:ilvl w:val="0"/>
          <w:numId w:val="1000"/>
        </w:numPr>
        <w:pStyle w:val="Heading4"/>
      </w:pPr>
      <w:bookmarkStart w:id="24" w:name="section-2"/>
      <w:bookmarkEnd w:id="24"/>
    </w:p>
    <w:p>
      <w:pPr>
        <w:numPr>
          <w:ilvl w:val="0"/>
          <w:numId w:val="1000"/>
        </w:numPr>
        <w:pStyle w:val="Heading3"/>
      </w:pPr>
      <w:bookmarkStart w:id="25" w:name="section-3"/>
      <w:bookmarkEnd w:id="25"/>
    </w:p>
    <w:p>
      <w:pPr>
        <w:numPr>
          <w:ilvl w:val="0"/>
          <w:numId w:val="1000"/>
        </w:numPr>
      </w:pPr>
      <w:r>
        <w:t xml:space="preserve">5. Risk Management and Compliance</w:t>
      </w:r>
    </w:p>
    <w:p>
      <w:pPr>
        <w:numPr>
          <w:ilvl w:val="0"/>
          <w:numId w:val="1000"/>
        </w:numPr>
      </w:pPr>
      <w:r>
        <w:t xml:space="preserve">.&lt;\strong&gt;</w:t>
      </w:r>
    </w:p>
    <w:p>
      <w:pPr>
        <w:numPr>
          <w:ilvl w:val="0"/>
          <w:numId w:val="1000"/>
        </w:numPr>
      </w:pPr>
      <w:r>
        <w:t xml:space="preserve">Risk mitigation is critical when operating an auditing service in</w:t>
      </w:r>
      <w:r>
        <w:t xml:space="preserve"> </w:t>
      </w:r>
      <w:r>
        <w:rPr>
          <w:bCs/>
          <w:b/>
        </w:rPr>
        <w:t xml:space="preserve">Bogotá, Colombia</w:t>
      </w:r>
      <w:r>
        <w:t xml:space="preserve">.</w:t>
      </w:r>
    </w:p>
    <w:p>
      <w:pPr>
        <w:numPr>
          <w:ilvl w:val="0"/>
          <w:numId w:val="1000"/>
        </w:numPr>
      </w:pPr>
      <w:r>
        <w:t xml:space="preserve">.</w:t>
      </w:r>
    </w:p>
    <w:p>
      <w:pPr>
        <w:numPr>
          <w:ilvl w:val="0"/>
          <w:numId w:val="1003"/>
        </w:numPr>
        <w:pStyle w:val="Compact"/>
      </w:pPr>
      <w:r>
        <w:rPr>
          <w:bCs/>
          <w:b/>
        </w:rPr>
        <w:t xml:space="preserve">Data Privacy:</w:t>
      </w:r>
      <w:r>
        <w:t xml:space="preserve">, Colombia has enacted Law 1581 of 2012 regarding personal data protection. The</w:t>
      </w:r>
      <w:r>
        <w:t xml:space="preserve"> </w:t>
      </w:r>
      <w:r>
        <w:rPr>
          <w:bCs/>
          <w:b/>
        </w:rPr>
        <w:t xml:space="preserve">Auditor</w:t>
      </w:r>
    </w:p>
    <w:p>
      <w:pPr>
        <w:numPr>
          <w:ilvl w:val="0"/>
          <w:numId w:val="1000"/>
        </w:numPr>
        <w:pStyle w:val="Compact"/>
      </w:pPr>
      <w:r>
        <w:t xml:space="preserve">, must ensure that all client data is handled securely and in compliance with this law.</w:t>
      </w:r>
    </w:p>
    <w:p>
      <w:pPr>
        <w:numPr>
          <w:ilvl w:val="0"/>
          <w:numId w:val="1003"/>
        </w:numPr>
        <w:pStyle w:val="Compact"/>
      </w:pPr>
      <w:r>
        <w:rPr>
          <w:bCs/>
          <w:b/>
        </w:rPr>
        <w:t xml:space="preserve">Anti-Money Laundering (AML):</w:t>
      </w:r>
    </w:p>
    <w:p>
      <w:pPr>
        <w:numPr>
          <w:ilvl w:val="0"/>
          <w:numId w:val="1000"/>
        </w:numPr>
        <w:pStyle w:val="Compact"/>
      </w:pPr>
      <w:r>
        <w:t xml:space="preserve">. Auditors are often the first line of defense in detecting suspicious financial activities. The</w:t>
      </w:r>
      <w:r>
        <w:t xml:space="preserve"> </w:t>
      </w:r>
      <w:r>
        <w:rPr>
          <w:bCs/>
          <w:b/>
        </w:rPr>
        <w:t xml:space="preserve">Auditor</w:t>
      </w:r>
    </w:p>
    <w:p>
      <w:pPr>
        <w:numPr>
          <w:ilvl w:val="0"/>
          <w:numId w:val="1000"/>
        </w:numPr>
        <w:pStyle w:val="Compact"/>
      </w:pPr>
      <w:r>
        <w:t xml:space="preserve">, must be trained to identify red flags associated with money laundering and report them as required by Colombian law.</w:t>
      </w:r>
    </w:p>
    <w:bookmarkEnd w:id="26"/>
    <w:bookmarkStart w:id="27" w:name="section-4"/>
    <w:p>
      <w:pPr>
        <w:pStyle w:val="Heading3"/>
      </w:pPr>
    </w:p>
    <w:bookmarkEnd w:id="27"/>
    <w:bookmarkEnd w:id="28"/>
    <w:bookmarkStart w:id="29" w:name="section-5"/>
    <w:p>
      <w:pPr>
        <w:pStyle w:val="Heading2"/>
      </w:pPr>
    </w:p>
    <w:p>
      <w:pPr>
        <w:pStyle w:val="FirstParagraph"/>
      </w:pPr>
      <w:r>
        <w:t xml:space="preserve">6. Conclusion and Recommendations&lt;\strong&gt;</w:t>
      </w:r>
    </w:p>
    <w:p>
      <w:pPr>
        <w:pStyle w:val="BodyText"/>
      </w:pPr>
      <w:r>
        <w:t xml:space="preserve">.&lt;\strong&gt;</w:t>
      </w:r>
    </w:p>
    <w:p>
      <w:pPr>
        <w:pStyle w:val="BodyText"/>
      </w:pPr>
      <w:r>
        <w:t xml:space="preserve">.</w:t>
      </w:r>
    </w:p>
    <w:p>
      <w:pPr>
        <w:pStyle w:val="BodyText"/>
      </w:pPr>
      <w:r>
        <w:t xml:space="preserve">.</w:t>
      </w:r>
    </w:p>
    <w:p>
      <w:pPr>
        <w:pStyle w:val="BodyText"/>
      </w:pPr>
      <w:r>
        <w:t xml:space="preserve">In conclusion, the deployment of an</w:t>
      </w:r>
      <w:r>
        <w:t xml:space="preserve"> </w:t>
      </w:r>
      <w:r>
        <w:rPr>
          <w:bCs/>
          <w:b/>
        </w:rPr>
        <w:t xml:space="preserve">Auditor</w:t>
      </w:r>
    </w:p>
    <w:p>
      <w:pPr>
        <w:pStyle w:val="BodyText"/>
      </w:pPr>
      <w:r>
        <w:t xml:space="preserve">, service in</w:t>
      </w:r>
      <w:r>
        <w:t xml:space="preserve"> </w:t>
      </w:r>
      <w:r>
        <w:rPr>
          <w:bCs/>
          <w:b/>
        </w:rPr>
        <w:t xml:space="preserve">Bogotá, Colombia,</w:t>
      </w:r>
      <w:r>
        <w:t xml:space="preserve">.</w:t>
      </w:r>
    </w:p>
    <w:p>
      <w:pPr>
        <w:pStyle w:val="BodyText"/>
      </w:pPr>
      <w:r>
        <w:t xml:space="preserve">. This initiative will not only ensure legal compliance but also enhance the company's reputation for transparency and integrity in one of Latin America's most dynamic economic centers. Immediate action is recommended to begin the recruitment and certification process for the designated</w:t>
      </w:r>
      <w:r>
        <w:t xml:space="preserve"> </w:t>
      </w:r>
      <w:r>
        <w:rPr>
          <w:bCs/>
          <w:b/>
        </w:rPr>
        <w:t xml:space="preserve">Auditor</w:t>
      </w:r>
    </w:p>
    <w:p>
      <w:pPr>
        <w:pStyle w:val="BodyText"/>
      </w:pPr>
      <w:r>
        <w:t xml:space="preserve">, role.</w:t>
      </w:r>
    </w:p>
    <w:p>
      <w:r>
        <w:pict>
          <v:rect style="width:0;height:1.5pt" o:hralign="center" o:hrstd="t" o:hr="t"/>
        </w:pict>
      </w:r>
    </w:p>
    <w:p>
      <w:pPr>
        <w:pStyle w:val="FirstParagraph"/>
      </w:pPr>
      <w:r>
        <w:rPr>
          <w:iCs/>
          <w:i/>
        </w:rPr>
        <w:t xml:space="preserve">This report has been prepared in accordance with professional standards for project documentation.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Colombia Bogotá</dc:title>
  <dc:creator/>
  <dc:language>en</dc:language>
  <cp:keywords/>
  <dcterms:created xsi:type="dcterms:W3CDTF">2026-07-29T08:58:25Z</dcterms:created>
  <dcterms:modified xsi:type="dcterms:W3CDTF">2026-07-29T08:58:25Z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