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Independent</w:t>
      </w:r>
      <w:r>
        <w:t xml:space="preserve"> </w:t>
      </w:r>
      <w:r>
        <w:t xml:space="preserve">Auditor</w:t>
      </w:r>
      <w:r>
        <w:t xml:space="preserve"> </w:t>
      </w:r>
      <w:r>
        <w:t xml:space="preserve">Services</w:t>
      </w:r>
      <w:r>
        <w:t xml:space="preserve"> </w:t>
      </w:r>
      <w:r>
        <w:t xml:space="preserve">in</w:t>
      </w:r>
      <w:r>
        <w:t xml:space="preserve"> </w:t>
      </w:r>
      <w:r>
        <w:t xml:space="preserve">Turkey,</w:t>
      </w:r>
      <w:r>
        <w:t xml:space="preserve"> </w:t>
      </w:r>
      <w:r>
        <w:t xml:space="preserve">Ankara</w:t>
      </w:r>
    </w:p>
    <w:bookmarkStart w:id="30" w:name="Xe74566b77f38d2f7cbbdd2c03439bea41694771"/>
    <w:p>
      <w:pPr>
        <w:pStyle w:val="Heading1"/>
      </w:pPr>
      <w:r>
        <w:t xml:space="preserve">Project Report:</w:t>
      </w:r>
      <w:r>
        <w:t xml:space="preserve"> </w:t>
      </w:r>
      <w:r>
        <w:t xml:space="preserve">Strategic Implementation of Independent</w:t>
      </w:r>
      <w:r>
        <w:t xml:space="preserve"> </w:t>
      </w:r>
      <w:r>
        <w:t xml:space="preserve">Auditor</w:t>
      </w:r>
      <w:r>
        <w:t xml:space="preserve"> </w:t>
      </w:r>
      <w:r>
        <w:t xml:space="preserve">Services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 (PMO)</w:t>
      </w:r>
      <w:r>
        <w:br/>
      </w:r>
      <w:r>
        <w:t xml:space="preserve">SUBJECT: Comprehensive Analysis of Regulatory Frameworks and Operational Viability for Auditor Engagement in Turkey, Ankara</w:t>
      </w:r>
    </w:p>
    <w:bookmarkStart w:id="20" w:name="executive-summary"/>
    <w:p>
      <w:pPr>
        <w:pStyle w:val="Heading2"/>
      </w:pPr>
      <w:r>
        <w:t xml:space="preserve">1. Executive Summary</w:t>
      </w:r>
    </w:p>
    <w:p>
      <w:pPr>
        <w:pStyle w:val="FirstParagraph"/>
      </w:pPr>
      <w:r>
        <w:t xml:space="preserve">This project report outlines the critical requirements, regulatory challenges, and strategic opportunities associated with engaging an independent</w:t>
      </w:r>
      <w:r>
        <w:t xml:space="preserve"> </w:t>
      </w:r>
      <w:r>
        <w:rPr>
          <w:bCs/>
          <w:b/>
        </w:rPr>
        <w:t xml:space="preserve">Auditor</w:t>
      </w:r>
      <w:r>
        <w:t xml:space="preserve"> </w:t>
      </w:r>
      <w:r>
        <w:t xml:space="preserve">within the business environment of Turkey. Specifically focusing on Ankara, the capital city of Turkey, this document serves as a foundational guide for multinational corporations and local entities seeking to ensure compliance with Turkish Accounting Standards (TAS) and International Financial Reporting Standards (IFRS). As economic conditions in Turkey evolve rapidly, the role of a qualified</w:t>
      </w:r>
      <w:r>
        <w:t xml:space="preserve"> </w:t>
      </w:r>
      <w:r>
        <w:rPr>
          <w:bCs/>
          <w:b/>
        </w:rPr>
        <w:t xml:space="preserve">Auditor</w:t>
      </w:r>
      <w:r>
        <w:t xml:space="preserve"> </w:t>
      </w:r>
      <w:r>
        <w:t xml:space="preserve">has become more pivotal than ever in maintaining financial transparency, attracting foreign direct investment, and ensuring corporate governance integrity. This report details the necessity of specialized local expertise to navigate the complex legal landscape of Turkey while leveraging Ankara's status as a central hub for government and diplomatic relations.</w:t>
      </w:r>
    </w:p>
    <w:bookmarkEnd w:id="20"/>
    <w:bookmarkStart w:id="21" w:name="introduction-and-background"/>
    <w:p>
      <w:pPr>
        <w:pStyle w:val="Heading2"/>
      </w:pPr>
      <w:r>
        <w:t xml:space="preserve">2. Introduction and Background</w:t>
      </w:r>
    </w:p>
    <w:p>
      <w:pPr>
        <w:pStyle w:val="FirstParagraph"/>
      </w:pPr>
      <w:r>
        <w:t xml:space="preserve">Turkey represents one of the most dynamic emerging markets in Europe and the Middle East. However, its financial regulatory environment is characterized by frequent updates to laws aimed at stabilizing inflation, managing currency volatility, and aligning with European Union accession requirements. In this context, the engagement of a professional</w:t>
      </w:r>
      <w:r>
        <w:t xml:space="preserve"> </w:t>
      </w:r>
      <w:r>
        <w:rPr>
          <w:bCs/>
          <w:b/>
        </w:rPr>
        <w:t xml:space="preserve">Auditor</w:t>
      </w:r>
      <w:r>
        <w:t xml:space="preserve"> </w:t>
      </w:r>
      <w:r>
        <w:t xml:space="preserve">is not merely a compliance formality but a strategic necessity.</w:t>
      </w:r>
    </w:p>
    <w:p>
      <w:pPr>
        <w:pStyle w:val="BodyText"/>
      </w:pPr>
      <w:r>
        <w:t xml:space="preserve">Ankara holds unique significance in this framework. As the political heart of Turkey, Ankara is home to numerous government ministries, regulatory bodies, and international diplomatic missions. Consequently, businesses operating in Ankara often face stricter scrutiny from state institutions compared to commercial hubs like Istanbul or Izmir. Therefore, selecting an</w:t>
      </w:r>
      <w:r>
        <w:t xml:space="preserve"> </w:t>
      </w:r>
      <w:r>
        <w:rPr>
          <w:bCs/>
          <w:b/>
        </w:rPr>
        <w:t xml:space="preserve">Auditor</w:t>
      </w:r>
      <w:r>
        <w:t xml:space="preserve"> </w:t>
      </w:r>
      <w:r>
        <w:t xml:space="preserve">with deep connections and understanding of the Ankara-specific administrative requirements is crucial for seamless operations.</w:t>
      </w:r>
    </w:p>
    <w:bookmarkEnd w:id="21"/>
    <w:bookmarkStart w:id="22" w:name="regulatory-framework-in-turkey"/>
    <w:p>
      <w:pPr>
        <w:pStyle w:val="Heading2"/>
      </w:pPr>
      <w:r>
        <w:t xml:space="preserve">3. Regulatory Framework in Turkey</w:t>
      </w:r>
    </w:p>
    <w:p>
      <w:pPr>
        <w:pStyle w:val="FirstParagraph"/>
      </w:pPr>
      <w:r>
        <w:t xml:space="preserve">To understand the role of an</w:t>
      </w:r>
      <w:r>
        <w:t xml:space="preserve"> </w:t>
      </w:r>
      <w:r>
        <w:rPr>
          <w:bCs/>
          <w:b/>
        </w:rPr>
        <w:t xml:space="preserve">Auditor</w:t>
      </w:r>
      <w:r>
        <w:t xml:space="preserve">, one must first appreciate the regulatory environment in Turkey. The financial reporting framework is governed by several key entities:</w:t>
      </w:r>
    </w:p>
    <w:p>
      <w:pPr>
        <w:numPr>
          <w:ilvl w:val="0"/>
          <w:numId w:val="1001"/>
        </w:numPr>
        <w:pStyle w:val="Compact"/>
      </w:pPr>
      <w:r>
        <w:rPr>
          <w:bCs/>
          <w:b/>
        </w:rPr>
        <w:t xml:space="preserve">Turkish Accounting Standards Institution (TAS):</w:t>
      </w:r>
      <w:r>
        <w:t xml:space="preserve"> </w:t>
      </w:r>
      <w:r>
        <w:t xml:space="preserve">TAS issues accounting standards that are largely converged with IFRS. All public interest entities and large companies must prepare their consolidated financial statements in accordance with IFRS as issued by theIASB, while unconsolidated statements may follow Turkish Financial Reporting Standards.</w:t>
      </w:r>
    </w:p>
    <w:p>
      <w:pPr>
        <w:numPr>
          <w:ilvl w:val="0"/>
          <w:numId w:val="1001"/>
        </w:numPr>
        <w:pStyle w:val="Compact"/>
      </w:pPr>
      <w:r>
        <w:rPr>
          <w:bCs/>
          <w:b/>
        </w:rPr>
        <w:t xml:space="preserve">The Ministry of Treasury and Finance:</w:t>
      </w:r>
      <w:r>
        <w:t xml:space="preserve"> </w:t>
      </w:r>
      <w:r>
        <w:t xml:space="preserve">This body oversees the implementation of accounting laws. It has recently introduced stricter penalties for non-compliance and mandates real-time reporting for certain transactions.</w:t>
      </w:r>
    </w:p>
    <w:p>
      <w:pPr>
        <w:numPr>
          <w:ilvl w:val="0"/>
          <w:numId w:val="1001"/>
        </w:numPr>
        <w:pStyle w:val="Compact"/>
      </w:pPr>
      <w:r>
        <w:rPr>
          <w:bCs/>
          <w:b/>
        </w:rPr>
        <w:t xml:space="preserve">Turkish Auditing Standards Board (TASB):</w:t>
      </w:r>
      <w:r>
        <w:t xml:space="preserve"> </w:t>
      </w:r>
      <w:r>
        <w:t xml:space="preserve">The TASB ensures that audit practices meet international quality standards. An appointed</w:t>
      </w:r>
      <w:r>
        <w:t xml:space="preserve"> </w:t>
      </w:r>
      <w:r>
        <w:rPr>
          <w:bCs/>
          <w:b/>
        </w:rPr>
        <w:t xml:space="preserve">Auditor</w:t>
      </w:r>
      <w:r>
        <w:t xml:space="preserve"> </w:t>
      </w:r>
      <w:r>
        <w:t xml:space="preserve">must be licensed by the Capital Markets Board (CMB) if the client is a public company, or registered with the relevant Chambers of Certified Public Accountants for private entities.</w:t>
      </w:r>
    </w:p>
    <w:p>
      <w:pPr>
        <w:pStyle w:val="FirstParagraph"/>
      </w:pPr>
      <w:r>
        <w:t xml:space="preserve">Navigating these regulations requires an</w:t>
      </w:r>
      <w:r>
        <w:t xml:space="preserve"> </w:t>
      </w:r>
      <w:r>
        <w:rPr>
          <w:bCs/>
          <w:b/>
        </w:rPr>
        <w:t xml:space="preserve">Auditor</w:t>
      </w:r>
      <w:r>
        <w:t xml:space="preserve"> </w:t>
      </w:r>
      <w:r>
        <w:t xml:space="preserve">who possesses not only technical accounting knowledge but also linguistic proficiency in Turkish and a nuanced understanding of local business culture. Misinterpretation of Turkish legal terminology can lead to significant financial penalties or reputational damage.</w:t>
      </w:r>
    </w:p>
    <w:bookmarkEnd w:id="22"/>
    <w:bookmarkStart w:id="25" w:name="the-strategic-importance-of-ankara"/>
    <w:p>
      <w:pPr>
        <w:pStyle w:val="Heading2"/>
      </w:pPr>
      <w:r>
        <w:t xml:space="preserve">4. The Strategic Importance of Ankara</w:t>
      </w:r>
    </w:p>
    <w:p>
      <w:pPr>
        <w:pStyle w:val="FirstParagraph"/>
      </w:pPr>
      <w:r>
        <w:t xml:space="preserve">Ankara is distinct from other Turkish cities in its economic and political profile. While Istanbul is the commercial engine, Ankara is the administrative center. For an enterprise operating here, the relationship with state-owned enterprises (SOEs), public procurement bodies, and regulatory agencies is paramount.</w:t>
      </w:r>
    </w:p>
    <w:bookmarkStart w:id="23" w:name="proximity-to-decision-makers"/>
    <w:p>
      <w:pPr>
        <w:pStyle w:val="Heading3"/>
      </w:pPr>
      <w:r>
        <w:t xml:space="preserve">4.1 Proximity to Decision Makers</w:t>
      </w:r>
    </w:p>
    <w:p>
      <w:pPr>
        <w:pStyle w:val="FirstParagraph"/>
      </w:pPr>
      <w:r>
        <w:t xml:space="preserve">Ankara hosts the headquarters of many central government departments. An effective</w:t>
      </w:r>
      <w:r>
        <w:t xml:space="preserve"> </w:t>
      </w:r>
      <w:r>
        <w:rPr>
          <w:bCs/>
          <w:b/>
        </w:rPr>
        <w:t xml:space="preserve">Auditor</w:t>
      </w:r>
    </w:p>
    <w:bookmarkEnd w:id="23"/>
    <w:bookmarkStart w:id="24" w:name="industrial-zones-and-tech-parks"/>
    <w:p>
      <w:pPr>
        <w:pStyle w:val="Heading3"/>
      </w:pPr>
      <w:r>
        <w:t xml:space="preserve">4.2 Industrial Zones and Tech Parks</w:t>
      </w:r>
    </w:p>
    <w:p>
      <w:pPr>
        <w:pStyle w:val="FirstParagraph"/>
      </w:pPr>
      <w:r>
        <w:t xml:space="preserve">Ankara Organized Industrial Zones (AOIZ) and KOSGEB-supported enterprises require specialized auditing services that focus on production costs, subsidies compliance, and export incentives. The local market in Ankara has a strong presence of defense industries, automotive manufacturing, and information technology sectors. An</w:t>
      </w:r>
      <w:r>
        <w:t xml:space="preserve"> </w:t>
      </w:r>
      <w:r>
        <w:rPr>
          <w:bCs/>
          <w:b/>
        </w:rPr>
        <w:t xml:space="preserve">Auditor</w:t>
      </w:r>
      <w:r>
        <w:t xml:space="preserve"> </w:t>
      </w:r>
      <w:r>
        <w:t xml:space="preserve">familiar with these specific industry verticals can provide added value beyond basic financial statement verification.</w:t>
      </w:r>
    </w:p>
    <w:bookmarkEnd w:id="24"/>
    <w:bookmarkEnd w:id="25"/>
    <w:bookmarkStart w:id="26" w:name="challenges-in-auditor-selection"/>
    <w:p>
      <w:pPr>
        <w:pStyle w:val="Heading2"/>
      </w:pPr>
      <w:r>
        <w:t xml:space="preserve">5. Challenges in Auditor Selection</w:t>
      </w:r>
    </w:p>
    <w:p>
      <w:pPr>
        <w:pStyle w:val="FirstParagraph"/>
      </w:pPr>
      <w:r>
        <w:t xml:space="preserve">Selecting the right partner for auditing services in Turkey presents several challenges:</w:t>
      </w:r>
    </w:p>
    <w:p>
      <w:pPr>
        <w:pStyle w:val="BodyText"/>
      </w:pPr>
      <w:r>
        <w:rPr>
          <w:bCs/>
          <w:b/>
        </w:rPr>
        <w:t xml:space="preserve">FChallenge</w:t>
      </w:r>
    </w:p>
    <w:bookmarkEnd w:id="26"/>
    <w:p>
      <w:pPr>
        <w:pStyle w:val="BodyText"/>
      </w:pPr>
      <w:r>
        <w:rPr>
          <w:bCs/>
          <w:b/>
        </w:rPr>
        <w:t xml:space="preserve">Description</w:t>
      </w:r>
    </w:p>
    <w:p>
      <w:pPr>
        <w:pStyle w:val="BodyText"/>
      </w:pPr>
      <w:r>
        <w:t xml:space="preserve">.td/tr &gt; tr / td/tr &gt;</w:t>
      </w:r>
    </w:p>
    <w:p>
      <w:pPr>
        <w:pStyle w:val="BodyText"/>
      </w:pPr>
      <w:r>
        <w:br/>
      </w:r>
    </w:p>
    <w:p>
      <w:pPr>
        <w:pStyle w:val="BodyText"/>
      </w:pPr>
      <w:r>
        <w:br/>
      </w:r>
    </w:p>
    <w:bookmarkStart w:id="27" w:name="X4b589f2e6d72cf1b3cde3cf090e8edc8ab665d9"/>
    <w:p>
      <w:pPr>
        <w:pStyle w:val="Heading2"/>
      </w:pPr>
      <w:r>
        <w:t xml:space="preserve">6. Recommendations for Project Implementation</w:t>
      </w:r>
    </w:p>
    <w:p>
      <w:pPr>
        <w:pStyle w:val="FirstParagraph"/>
      </w:pPr>
      <w:r>
        <w:t xml:space="preserve">To ensure the success of the audit function in Turkey, specifically within Ankara, the following recommendations are proposed:</w:t>
      </w:r>
    </w:p>
    <w:p>
      <w:pPr>
        <w:numPr>
          <w:ilvl w:val="0"/>
          <w:numId w:val="1002"/>
        </w:numPr>
        <w:pStyle w:val="Compact"/>
      </w:pPr>
      <w:r>
        <w:rPr>
          <w:bCs/>
          <w:b/>
        </w:rPr>
        <w:t xml:space="preserve">Vet Local Expertise:</w:t>
      </w:r>
      <w:r>
        <w:t xml:space="preserve"> </w:t>
      </w:r>
      <w:r>
        <w:t xml:space="preserve">The selected Auditor must have a physical presence or strong operational team in Ankara. Remote auditing is insufficient due to the need for on-site inventory verification and document review.</w:t>
      </w:r>
    </w:p>
    <w:p>
      <w:pPr>
        <w:numPr>
          <w:ilvl w:val="0"/>
          <w:numId w:val="1002"/>
        </w:numPr>
        <w:pStyle w:val="Compact"/>
      </w:pPr>
      <w:r>
        <w:rPr>
          <w:bCs/>
          <w:b/>
        </w:rPr>
        <w:t xml:space="preserve">Dual-Licensing Verification:</w:t>
      </w:r>
      <w:r>
        <w:t xml:space="preserve"> </w:t>
      </w:r>
      <w:r>
        <w:t xml:space="preserve">Ensure the Audit Firm holds licenses from both the Capital Markets Board (if applicable) and relevant professional chambers. Verify that individual Auditors are in good standing with no disciplinary records.</w:t>
      </w:r>
    </w:p>
    <w:p>
      <w:pPr>
        <w:numPr>
          <w:ilvl w:val="0"/>
          <w:numId w:val="1002"/>
        </w:numPr>
        <w:pStyle w:val="Compact"/>
      </w:pPr>
      <w:r>
        <w:rPr>
          <w:bCs/>
          <w:b/>
        </w:rPr>
        <w:t xml:space="preserve">Tech Integration:</w:t>
      </w:r>
      <w:r>
        <w:t xml:space="preserve"> </w:t>
      </w:r>
      <w:r>
        <w:t xml:space="preserve">The Auditor should utilize auditing software compatible with Turkish e-invoicing and e-archive systems, which are mandatory for most businesses in Turkey.</w:t>
      </w:r>
    </w:p>
    <w:p>
      <w:pPr>
        <w:numPr>
          <w:ilvl w:val="0"/>
          <w:numId w:val="1002"/>
        </w:numPr>
        <w:pStyle w:val="Compact"/>
      </w:pPr>
      <w:r>
        <w:t xml:space="preserve">Bilingual Reporting:: The Auditor should provide quarterly briefings on changes in Turkish tax law and accounting standards that may impact the company's bottom line.</w:t>
      </w:r>
    </w:p>
    <w:bookmarkEnd w:id="27"/>
    <w:bookmarkStart w:id="28" w:name="conclusion"/>
    <w:p>
      <w:pPr>
        <w:pStyle w:val="Heading2"/>
      </w:pPr>
      <w:r>
        <w:t xml:space="preserve">7. Conclusion</w:t>
      </w:r>
    </w:p>
    <w:p>
      <w:pPr>
        <w:pStyle w:val="FirstParagraph"/>
      </w:pPr>
      <w:r>
        <w:t xml:space="preserve">In conclusion, the appointment of a competent and locally attuned Auditor is a critical success factor for any business operation in Turkey. The unique position of Ankara as the political and administrative capital demands a level of diligence and regulatory awareness that goes beyond standard commercial auditing practices. By adhering to the recommendations outlined in this project report, stakeholders can mitigate risks associated with financial reporting, tax compliance, and corporate governance.</w:t>
      </w:r>
    </w:p>
    <w:p>
      <w:pPr>
        <w:pStyle w:val="BodyText"/>
      </w:pPr>
      <w:r>
        <w:t xml:space="preserve">The interplay between Turkey's dynamic economy and its strict regulatory oversight makes the Auditor an essential partner rather than a mere service provider. Investing in high-quality audit services in Ankara will not only ensure compliance but also enhance investor confidence and operational efficiency. We strongly recommend proceeding with the selection process immediately to align with the upcoming fiscal year reporting deadlines.</w:t>
      </w:r>
    </w:p>
    <w:bookmarkEnd w:id="28"/>
    <w:bookmarkStart w:id="29" w:name="appendices"/>
    <w:p>
      <w:pPr>
        <w:pStyle w:val="Heading2"/>
      </w:pPr>
      <w:r>
        <w:t xml:space="preserve">8. Appendices</w:t>
      </w:r>
    </w:p>
    <w:p>
      <w:pPr>
        <w:numPr>
          <w:ilvl w:val="0"/>
          <w:numId w:val="1003"/>
        </w:numPr>
        <w:pStyle w:val="Compact"/>
      </w:pPr>
      <w:r>
        <w:rPr>
          <w:bCs/>
          <w:b/>
        </w:rPr>
        <w:t xml:space="preserve">A:</w:t>
      </w:r>
      <w:r>
        <w:t xml:space="preserve"> </w:t>
      </w:r>
      <w:r>
        <w:t xml:space="preserve">List of Approved Audit Firms in Ankara Region.</w:t>
      </w:r>
    </w:p>
    <w:bookmarkEnd w:id="29"/>
    <w:p>
      <w:pPr>
        <w:pStyle w:val="FirstParagraph"/>
      </w:pPr>
      <w:r>
        <w:t xml:space="preserve">html &gt;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Independent Auditor Services in Turkey, Ankara</dc:title>
  <dc:creator/>
  <dc:language>en</dc:language>
  <cp:keywords/>
  <dcterms:created xsi:type="dcterms:W3CDTF">2026-07-29T13:15:07Z</dcterms:created>
  <dcterms:modified xsi:type="dcterms:W3CDTF">2026-07-29T13:15:07Z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