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Financial</w:t>
      </w:r>
      <w:r>
        <w:t xml:space="preserve"> </w:t>
      </w:r>
      <w:r>
        <w:t xml:space="preserve">Audit</w:t>
      </w:r>
      <w:r>
        <w:t xml:space="preserve"> </w:t>
      </w:r>
      <w:r>
        <w:t xml:space="preserve">Services</w:t>
      </w:r>
      <w:r>
        <w:t xml:space="preserve"> </w:t>
      </w:r>
      <w:r>
        <w:t xml:space="preserve">in</w:t>
      </w:r>
      <w:r>
        <w:t xml:space="preserve"> </w:t>
      </w:r>
      <w:r>
        <w:t xml:space="preserve">Los</w:t>
      </w:r>
      <w:r>
        <w:t xml:space="preserve"> </w:t>
      </w:r>
      <w:r>
        <w:t xml:space="preserve">Angeles</w:t>
      </w:r>
    </w:p>
    <w:p>
      <w:pPr>
        <w:pStyle w:val="FirstParagraph"/>
      </w:pPr>
      <w:r>
        <w:rPr>
          <w:bCs/>
          <w:b/>
        </w:rPr>
        <w:t xml:space="preserve">Federal &amp; Regional Audit Compliance Report</w:t>
      </w:r>
    </w:p>
    <w:p>
      <w:pPr>
        <w:pStyle w:val="BodyText"/>
      </w:pPr>
      <w:r>
        <w:rPr>
          <w:bCs/>
          <w:b/>
        </w:rPr>
        <w:t xml:space="preserve">Date:</w:t>
      </w:r>
    </w:p>
    <w:p>
      <w:pPr>
        <w:pStyle w:val="BodyText"/>
      </w:pPr>
      <w:r>
        <w:t xml:space="preserve">Otober 26, 2023</w:t>
      </w:r>
    </w:p>
    <w:p>
      <w:pPr>
        <w:pStyle w:val="BodyText"/>
      </w:pPr>
      <w:r>
        <w:rPr>
          <w:bCs/>
          <w:b/>
        </w:rPr>
        <w:t xml:space="preserve">To:</w:t>
      </w:r>
      <w:r>
        <w:t xml:space="preserve">The Board of Directors / Stakeholders</w:t>
      </w:r>
    </w:p>
    <w:p>
      <w:pPr>
        <w:pStyle w:val="BodyText"/>
      </w:pPr>
      <w:r>
        <w:t xml:space="preserve">TdTd"&gt;</w:t>
      </w:r>
    </w:p>
    <w:p>
      <w:pPr>
        <w:pStyle w:val="BodyText"/>
      </w:pPr>
      <w:r>
        <w:t xml:space="preserve">FROM:StronG&gt;Audit Committee Lead Auditor</w:t>
      </w:r>
    </w:p>
    <w:p>
      <w:pPr>
        <w:pStyle w:val="BodyText"/>
      </w:pPr>
      <w:r>
        <w:rPr>
          <w:bCs/>
          <w:b/>
        </w:rPr>
        <w:t xml:space="preserve">Subject:</w:t>
      </w:r>
      <w:r>
        <w:t xml:space="preserve"> </w:t>
      </w:r>
      <w:r>
        <w:t xml:space="preserve">Comprehensive Audit Framework for Los Angeles Operations in the United States</w:t>
      </w:r>
    </w:p>
    <w:bookmarkStart w:id="32" w:name="Xb618387dd796b3128b2a8edb82d223a86856e95"/>
    <w:p>
      <w:pPr>
        <w:pStyle w:val="Heading1"/>
      </w:pPr>
      <w:r>
        <w:t xml:space="preserve">Auditor Project Report: Strategic Compliance and Financial Integrity in United States Los Angeles</w:t>
      </w:r>
    </w:p>
    <w:bookmarkStart w:id="21" w:name="executive-summary"/>
    <w:bookmarkStart w:id="20" w:name="i.-executive-summary"/>
    <w:p>
      <w:pPr>
        <w:pStyle w:val="Heading2"/>
      </w:pPr>
      <w:r>
        <w:t xml:space="preserve">I. Executive Summary</w:t>
      </w:r>
    </w:p>
    <w:p>
      <w:pPr>
        <w:pStyle w:val="FirstParagraph"/>
      </w:pPr>
      <w:r>
        <w:t xml:space="preserve">This report outlines the strategic implementation, operational challenges, and compliance outcomes of the recent audit cycle conducted by our designated</w:t>
      </w:r>
      <w:r>
        <w:t xml:space="preserve"> </w:t>
      </w:r>
      <w:r>
        <w:rPr>
          <w:bCs/>
          <w:b/>
        </w:rPr>
        <w:t xml:space="preserve">Auditor</w:t>
      </w:r>
      <w:r>
        <w:t xml:space="preserve"> </w:t>
      </w:r>
      <w:r>
        <w:t xml:space="preserve">within the metropolitan jurisdiction of United States Los Angeles. As a premier economic hub in California, Los Angeles presents a unique matrix of regulatory complexities, including stringent state-level reporting requirements under California Generally Accepted Accounting Principles (GAAP), federal oversight mandated by the Securities and Exchange Commission (SEC), and local municipal codes specific to the City of</w:t>
      </w:r>
      <w:r>
        <w:t xml:space="preserve"> </w:t>
      </w:r>
      <w:r>
        <w:rPr>
          <w:bCs/>
          <w:b/>
        </w:rPr>
        <w:t xml:space="preserve">Los Angeles</w:t>
      </w:r>
      <w:r>
        <w:t xml:space="preserve">. The primary objective of this engagement was to evaluate internal controls, verify financial accuracy, ensure tax compliance with the California Franchise Tax Board, and assess operational risk. This document serves as a permanent record for stakeholders in the</w:t>
      </w:r>
      <w:r>
        <w:t xml:space="preserve"> </w:t>
      </w:r>
      <w:r>
        <w:rPr>
          <w:bCs/>
          <w:b/>
        </w:rPr>
        <w:t xml:space="preserve">United States Los Angeles</w:t>
      </w:r>
      <w:r>
        <w:t xml:space="preserve"> </w:t>
      </w:r>
      <w:r>
        <w:t xml:space="preserve">region, detailing how rigorous auditing standards were applied to maintain fiscal integrity.</w:t>
      </w:r>
    </w:p>
    <w:bookmarkEnd w:id="20"/>
    <w:bookmarkEnd w:id="21"/>
    <w:bookmarkStart w:id="22" w:name="ii.-background-and-scope-of-engagement"/>
    <w:p>
      <w:pPr>
        <w:pStyle w:val="Heading2"/>
      </w:pPr>
      <w:r>
        <w:t xml:space="preserve">II. Background and Scope of Engagement</w:t>
      </w:r>
    </w:p>
    <w:p>
      <w:pPr>
        <w:pStyle w:val="FirstParagraph"/>
      </w:pPr>
      <w:r>
        <w:t xml:space="preserve">The selection of an independent, certified public accountant (CPA) or internal lead</w:t>
      </w:r>
      <w:r>
        <w:t xml:space="preserve"> </w:t>
      </w:r>
      <w:r>
        <w:rPr>
          <w:bCs/>
          <w:b/>
        </w:rPr>
        <w:t xml:space="preserve">Auditor</w:t>
      </w:r>
      <w:r>
        <w:t xml:space="preserve"> </w:t>
      </w:r>
      <w:r>
        <w:t xml:space="preserve">was driven by the need to align our operations with both federal and local governance standards. Operating in the heart of the entertainment, aerospace, and technology sectors in Los Angeles requires a nuanced understanding of industry-specific revenue recognition models. The scope of this audit covered all financial transactions occurring within fiscal year 2023, focusing on three critical pillars: revenue assurance, expense verification against local procurement laws, and adherence to labor compliance regulations unique to California.</w:t>
      </w:r>
    </w:p>
    <w:p>
      <w:pPr>
        <w:pStyle w:val="BodyText"/>
      </w:pPr>
      <w:r>
        <w:t xml:space="preserve">The geographical context is vital. Los Angeles operates under a decentralized municipal structure that intersects with state and federal laws. Therefore, the</w:t>
      </w:r>
      <w:r>
        <w:t xml:space="preserve"> </w:t>
      </w:r>
      <w:r>
        <w:rPr>
          <w:bCs/>
          <w:b/>
        </w:rPr>
        <w:t xml:space="preserve">Auditor</w:t>
      </w:r>
      <w:r>
        <w:t xml:space="preserve"> </w:t>
      </w:r>
      <w:r>
        <w:t xml:space="preserve">was tasked with navigating this tripartite regulatory environment. The project began with a preliminary risk assessment phase, where the audit team identified high-risk areas such as international payroll processing for expatriate staff and complex supply chain logistics dependent on the Port of Los Angeles.</w:t>
      </w:r>
    </w:p>
    <w:bookmarkEnd w:id="22"/>
    <w:bookmarkStart w:id="27" w:name="methodology"/>
    <w:bookmarkStart w:id="26" w:name="iii.-audit-methodology-and-procedures"/>
    <w:p>
      <w:pPr>
        <w:pStyle w:val="Heading2"/>
      </w:pPr>
      <w:r>
        <w:t xml:space="preserve">III. Audit Methodology and Procedures</w:t>
      </w:r>
    </w:p>
    <w:p>
      <w:pPr>
        <w:pStyle w:val="FirstParagraph"/>
      </w:pPr>
      <w:r>
        <w:t xml:space="preserve">To ensure a comprehensive review, the</w:t>
      </w:r>
      <w:r>
        <w:t xml:space="preserve"> </w:t>
      </w:r>
      <w:r>
        <w:rPr>
          <w:bCs/>
          <w:b/>
        </w:rPr>
        <w:t xml:space="preserve">Auditor</w:t>
      </w:r>
      <w:r>
        <w:t xml:space="preserve"> </w:t>
      </w:r>
      <w:r>
        <w:t xml:space="preserve">employed a hybrid approach combining data analytics with substantive testing. Given the vast amount of transactional data generated by our Los Angeles operations, traditional sampling methods were supplemented by 100% population testing for high-value transactions.</w:t>
      </w:r>
    </w:p>
    <w:bookmarkStart w:id="23" w:name="Xe1c210679dd4047119610eb6edf9ad9aa1b44e9"/>
    <w:p>
      <w:pPr>
        <w:pStyle w:val="Heading3"/>
      </w:pPr>
      <w:r>
        <w:t xml:space="preserve">A. Risk Assessment and Internal Control Evaluation</w:t>
      </w:r>
    </w:p>
    <w:p>
      <w:pPr>
        <w:pStyle w:val="FirstParagraph"/>
      </w:pPr>
      <w:r>
        <w:t xml:space="preserve">The initial phase involved mapping out the internal control framework. The</w:t>
      </w:r>
      <w:r>
        <w:t xml:space="preserve"> </w:t>
      </w:r>
      <w:r>
        <w:rPr>
          <w:bCs/>
          <w:b/>
        </w:rPr>
        <w:t xml:space="preserve">Auditor</w:t>
      </w:r>
      <w:r>
        <w:t xml:space="preserve"> </w:t>
      </w:r>
      <w:r>
        <w:t xml:space="preserve">evaluated the segregation of duties within the finance department to prevent fraud, a critical component given the high volume of cash flows in the retail and service sectors prevalent in Los Angeles. We assessed whether access controls over financial reporting systems were robust enough to meet Sarbanes-Oxley (SOX) requirements applicable to US public entities.</w:t>
      </w:r>
    </w:p>
    <w:bookmarkEnd w:id="23"/>
    <w:bookmarkStart w:id="24" w:name="Xacf75bfd7afb23b1d4eb3ee9ffaa78414335957"/>
    <w:p>
      <w:pPr>
        <w:pStyle w:val="Heading3"/>
      </w:pPr>
      <w:r>
        <w:t xml:space="preserve">B. Substantive Testing of Financial Statements</w:t>
      </w:r>
    </w:p>
    <w:p>
      <w:pPr>
        <w:pStyle w:val="FirstParagraph"/>
      </w:pPr>
      <w:r>
        <w:t xml:space="preserve">Subsequent testing focused on the accuracy of the balance sheet and income statement. The</w:t>
      </w:r>
      <w:r>
        <w:t xml:space="preserve"> </w:t>
      </w:r>
      <w:r>
        <w:rPr>
          <w:bCs/>
          <w:b/>
        </w:rPr>
        <w:t xml:space="preserve">Auditor</w:t>
      </w:r>
      <w:r>
        <w:t xml:space="preserve"> </w:t>
      </w:r>
      <w:r>
        <w:t xml:space="preserve">conducted extensive vouching procedures, verifying invoices against purchase orders and delivery receipts. Special attention was paid to accounts receivable aging schedules, ensuring that allowances for doubtful accounts were appropriately calculated based on historical data from the California market.</w:t>
      </w:r>
    </w:p>
    <w:bookmarkEnd w:id="24"/>
    <w:bookmarkStart w:id="25" w:name="c.-regulatory-compliance-review"/>
    <w:p>
      <w:pPr>
        <w:pStyle w:val="Heading3"/>
      </w:pPr>
      <w:r>
        <w:t xml:space="preserve">C. Regulatory Compliance Review</w:t>
      </w:r>
    </w:p>
    <w:p>
      <w:pPr>
        <w:pStyle w:val="FirstParagraph"/>
      </w:pPr>
      <w:r>
        <w:t xml:space="preserve">A distinct feature of auditing in the United States Los Angeles region is the layering of local ordinances. The audit team reviewed compliance with local tax obligations, including Business and Use Tax administered by the City of Los Angeles Finance Department. Furthermore, environmental compliance costs associated with waste management and sustainability reporting were audited to ensure alignment with California’s strict environmental mandates.</w:t>
      </w:r>
    </w:p>
    <w:bookmarkEnd w:id="25"/>
    <w:bookmarkEnd w:id="26"/>
    <w:bookmarkEnd w:id="27"/>
    <w:bookmarkStart w:id="29" w:name="findings"/>
    <w:bookmarkStart w:id="28" w:name="iv.-key-findings-and-observations"/>
    <w:p>
      <w:pPr>
        <w:pStyle w:val="Heading2"/>
      </w:pPr>
      <w:r>
        <w:t xml:space="preserve">IV. Key Findings and Observations</w:t>
      </w:r>
    </w:p>
    <w:p>
      <w:pPr>
        <w:pStyle w:val="FirstParagraph"/>
      </w:pPr>
      <w:r>
        <w:t xml:space="preserve">The detailed analysis conducted by the lead</w:t>
      </w:r>
      <w:r>
        <w:t xml:space="preserve"> </w:t>
      </w:r>
      <w:r>
        <w:rPr>
          <w:bCs/>
          <w:b/>
        </w:rPr>
        <w:t xml:space="preserve">Auditor</w:t>
      </w:r>
      <w:r>
        <w:br/>
      </w:r>
      <w:r>
        <w:t xml:space="preserve">revealed several areas of strength and opportunities for improvement.</w:t>
      </w:r>
    </w:p>
    <w:p>
      <w:pPr>
        <w:numPr>
          <w:ilvl w:val="0"/>
          <w:numId w:val="1001"/>
        </w:numPr>
        <w:pStyle w:val="Compact"/>
      </w:pPr>
      <w:r>
        <w:rPr>
          <w:bCs/>
          <w:b/>
        </w:rPr>
        <w:t xml:space="preserve">Strength in Digital Controls:</w:t>
      </w:r>
      <w:r>
        <w:t xml:space="preserve">Auditor noted that the integration between ERP systems and bank feeds provided a high degree of assurance regarding transaction completeness.</w:t>
      </w:r>
    </w:p>
    <w:p>
      <w:pPr>
        <w:numPr>
          <w:ilvl w:val="0"/>
          <w:numId w:val="1001"/>
        </w:numPr>
        <w:pStyle w:val="Compact"/>
      </w:pPr>
      <w:r>
        <w:rPr>
          <w:iCs/>
          <w:i/>
        </w:rPr>
        <w:t xml:space="preserve">Area for Improvement in Vendor Management:</w:t>
      </w:r>
      <w:r>
        <w:br/>
      </w:r>
      <w:r>
        <w:t xml:space="preserve">A review of third-party vendor contracts revealed inconsistencies in billing cycles. The</w:t>
      </w:r>
      <w:r>
        <w:t xml:space="preserve"> </w:t>
      </w:r>
      <w:r>
        <w:rPr>
          <w:bCs/>
          <w:b/>
        </w:rPr>
        <w:t xml:space="preserve">Auditor</w:t>
      </w:r>
      <w:r>
        <w:t xml:space="preserve"> </w:t>
      </w:r>
      <w:r>
        <w:t xml:space="preserve">identified instances where payments were made prior to the fulfillment of service milestones, posing a minor financial risk.</w:t>
      </w:r>
    </w:p>
    <w:p>
      <w:pPr>
        <w:numPr>
          <w:ilvl w:val="0"/>
          <w:numId w:val="1001"/>
        </w:numPr>
        <w:pStyle w:val="Compact"/>
      </w:pPr>
      <w:r>
        <w:rPr>
          <w:bCs/>
          <w:b/>
        </w:rPr>
        <w:t xml:space="preserve">Complexity in Intercompany Transactions:</w:t>
      </w:r>
    </w:p>
    <w:p>
      <w:pPr>
        <w:numPr>
          <w:ilvl w:val="0"/>
          <w:numId w:val="1000"/>
        </w:numPr>
        <w:pStyle w:val="Compact"/>
      </w:pPr>
      <w:r>
        <w:t xml:space="preserve">Given our multi-entity structure operating across different jurisdictions within the United States Los Angeles metro area, transfer pricing documentation required enhancement. The audit highlighted the need for more rigorous contemporaneous records to withstand potential scrutiny from tax authorities.</w:t>
      </w:r>
    </w:p>
    <w:p>
      <w:pPr>
        <w:numPr>
          <w:ilvl w:val="0"/>
          <w:numId w:val="1001"/>
        </w:numPr>
        <w:pStyle w:val="Compact"/>
      </w:pPr>
      <w:r>
        <w:rPr>
          <w:bCs/>
          <w:b/>
        </w:rPr>
        <w:t xml:space="preserve">Labor Cost Allocation:</w:t>
      </w:r>
      <w:r>
        <w:t xml:space="preserve">The fluctuating nature of gig-economy and contract labor in Los Angeles presented challenges in accurate cost allocation. The</w:t>
      </w:r>
      <w:r>
        <w:t xml:space="preserve"> </w:t>
      </w:r>
      <w:r>
        <w:rPr>
          <w:bCs/>
          <w:b/>
        </w:rPr>
        <w:t xml:space="preserve">Auditor recommended a more granular tracking mechanism for hourly wages to ensure compliance with California’s evolving wage and hour laws.</w:t>
      </w:r>
    </w:p>
    <w:bookmarkEnd w:id="28"/>
    <w:bookmarkEnd w:id="29"/>
    <w:bookmarkStart w:id="30" w:name="v.-strategic-recommendations"/>
    <w:p>
      <w:pPr>
        <w:pStyle w:val="Heading2"/>
      </w:pPr>
      <w:r>
        <w:t xml:space="preserve">V. Strategic Recommendations</w:t>
      </w:r>
    </w:p>
    <w:p>
      <w:pPr>
        <w:pStyle w:val="FirstParagraph"/>
      </w:pPr>
      <w:r>
        <w:t xml:space="preserve">To address the findings outlined above, the following recommendations have been formulated by the audit team:</w:t>
      </w:r>
    </w:p>
    <w:p>
      <w:pPr>
        <w:numPr>
          <w:ilvl w:val="0"/>
          <w:numId w:val="1002"/>
        </w:numPr>
        <w:pStyle w:val="Compact"/>
      </w:pPr>
      <w:r>
        <w:rPr>
          <w:bCs/>
          <w:b/>
        </w:rPr>
        <w:t xml:space="preserve">Enhance Vendor Onboarding Protocols:</w:t>
      </w:r>
    </w:p>
    <w:p>
      <w:pPr>
        <w:numPr>
          <w:ilvl w:val="0"/>
          <w:numId w:val="1002"/>
        </w:numPr>
        <w:pStyle w:val="Compact"/>
      </w:pPr>
      <w:r>
        <w:rPr>
          <w:bCs/>
          <w:b/>
        </w:rPr>
        <w:t xml:space="preserve">Strengthen Transfer Pricing Documentation:</w:t>
      </w:r>
    </w:p>
    <w:p>
      <w:pPr>
        <w:numPr>
          <w:ilvl w:val="0"/>
          <w:numId w:val="1002"/>
        </w:numPr>
        <w:pStyle w:val="Compact"/>
      </w:pPr>
      <w:r>
        <w:rPr>
          <w:bCs/>
          <w:b/>
        </w:rPr>
        <w:t xml:space="preserve">Labor Management System Upgrade:</w:t>
      </w:r>
    </w:p>
    <w:p>
      <w:pPr>
        <w:numPr>
          <w:ilvl w:val="0"/>
          <w:numId w:val="1002"/>
        </w:numPr>
        <w:pStyle w:val="Compact"/>
      </w:pPr>
      <w:r>
        <w:rPr>
          <w:bCs/>
          <w:b/>
        </w:rPr>
        <w:t xml:space="preserve">Continuous Monitoring Integration:</w:t>
      </w:r>
      <w:r>
        <w:t xml:space="preserve">Auditor to identify anomalies in real-time, significantly reducing the audit cycle time and improving overall financial reporting reliability.</w:t>
      </w:r>
    </w:p>
    <w:bookmarkEnd w:id="30"/>
    <w:bookmarkStart w:id="31" w:name="vi.-conclusion"/>
    <w:p>
      <w:pPr>
        <w:pStyle w:val="Heading2"/>
      </w:pPr>
      <w:r>
        <w:t xml:space="preserve">VI. Conclusion</w:t>
      </w:r>
    </w:p>
    <w:p>
      <w:pPr>
        <w:pStyle w:val="FirstParagraph"/>
      </w:pPr>
      <w:r>
        <w:t xml:space="preserve">The execution of this audit project has provided a clear roadmap for enhancing financial governance within our Los Angeles operations. The role of the independent and internal</w:t>
      </w:r>
      <w:r>
        <w:t xml:space="preserve"> </w:t>
      </w:r>
      <w:r>
        <w:rPr>
          <w:bCs/>
          <w:b/>
        </w:rPr>
        <w:t xml:space="preserve">Auditor</w:t>
      </w:r>
      <w:r>
        <w:br/>
      </w:r>
      <w:r>
        <w:t xml:space="preserve">was pivotal in uncovering operational inefficiencies and ensuring that our practices align with the rigorous standards expected in the United States. By addressing the identified gaps, particularly in vendor management and labor compliance, we position ourselves to operate more securely within the competitive landscape of Los Angeles.</w:t>
      </w:r>
    </w:p>
    <w:p>
      <w:pPr>
        <w:pStyle w:val="BodyText"/>
      </w:pPr>
      <w:r>
        <w:t xml:space="preserve">The findings underscore the importance of adapting audit strategies to local nuances. While federal standards provide a baseline, success in United States Los Angeles requires meticulous attention to state and municipal regulations. This report serves not only as a record of past performance but as a foundational document for future strategic planning. We are committed to fostering a culture of transparency and accountability, leveraging the insights from this</w:t>
      </w:r>
    </w:p>
    <w:p>
      <w:pPr>
        <w:pStyle w:val="BodyText"/>
      </w:pPr>
      <w:r>
        <w:t xml:space="preserve">Auditor</w:t>
      </w:r>
      <w:r>
        <w:br/>
      </w:r>
      <w:r>
        <w:t xml:space="preserve">review to drive sustainable growth and operational excellence in the heart of California.</w:t>
      </w:r>
    </w:p>
    <w:p>
      <w:pPr>
        <w:pStyle w:val="BodyText"/>
      </w:pPr>
      <w:r>
        <w:t xml:space="preserve">© 2023 Audit Committee. All Rights Reserved. | Prepared for stakeholders in United States Los Angeles.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Financial Audit Services in Los Angeles</dc:title>
  <dc:creator/>
  <dc:language>en</dc:language>
  <cp:keywords/>
  <dcterms:created xsi:type="dcterms:W3CDTF">2026-07-29T15:15:11Z</dcterms:created>
  <dcterms:modified xsi:type="dcterms:W3CDTF">2026-07-29T15:15:11Z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