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Automotive</w:t>
      </w:r>
      <w:r>
        <w:t xml:space="preserve"> </w:t>
      </w:r>
      <w:r>
        <w:t xml:space="preserve">Engineering</w:t>
      </w:r>
      <w:r>
        <w:t xml:space="preserve"> </w:t>
      </w:r>
      <w:r>
        <w:t xml:space="preserve">Excellence</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6044e5f535387ed07c816a224772a1719b0545e"/>
    <w:p>
      <w:pPr>
        <w:pStyle w:val="Heading1"/>
      </w:pPr>
      <w:r>
        <w:t xml:space="preserve">Project Report: Strategic Implementation of Automotive Engineering Excellence in Saudi Arabia, Riyadh</w:t>
      </w:r>
    </w:p>
    <w:p>
      <w:pPr>
        <w:pStyle w:val="FirstParagraph"/>
      </w:pPr>
      <w:r>
        <w:rPr>
          <w:bCs/>
          <w:b/>
        </w:rPr>
        <w:t xml:space="preserve">Date:</w:t>
      </w:r>
      <w:r>
        <w:br/>
      </w:r>
      <w:r>
        <w:t xml:space="preserve">October 26, 2023</w:t>
      </w:r>
      <w:r>
        <w:br/>
      </w:r>
      <w:r>
        <w:br/>
      </w:r>
      <w:r>
        <w:rPr>
          <w:bCs/>
          <w:b/>
        </w:rPr>
        <w:t xml:space="preserve">To:</w:t>
      </w:r>
      <w:r>
        <w:br/>
      </w:r>
      <w:r>
        <w:t xml:space="preserve">Ministry of Industry and Mineral Resources; Vision 2030 Implementation Committee</w:t>
      </w:r>
      <w:r>
        <w:br/>
      </w:r>
      <w:r>
        <w:br/>
      </w:r>
      <w:r>
        <w:rPr>
          <w:bCs/>
          <w:b/>
        </w:rPr>
        <w:t xml:space="preserve">From:</w:t>
      </w:r>
      <w:r>
        <w:br/>
      </w:r>
      <w:r>
        <w:t xml:space="preserve">Strategic Engineering Consultancy Group</w:t>
      </w:r>
      <w:r>
        <w:br/>
      </w:r>
      <w:r>
        <w:br/>
      </w:r>
      <w:r>
        <w:rPr>
          <w:bCs/>
          <w:b/>
        </w:rPr>
        <w:t xml:space="preserve">Subject:</w:t>
      </w:r>
      <w:r>
        <w:br/>
      </w:r>
    </w:p>
    <w:bookmarkStart w:id="20" w:name="introduction"/>
    <w:p>
      <w:pPr>
        <w:pStyle w:val="Heading2"/>
      </w:pPr>
      <w:r>
        <w:t xml:space="preserve">1. Introduction</w:t>
      </w:r>
    </w:p>
    <w:p>
      <w:pPr>
        <w:pStyle w:val="FirstParagraph"/>
      </w:pPr>
      <w:r>
        <w:t xml:space="preserve">The Kingdom of Saudi Arabia is currently undergoing a transformative economic shift, driven by the ambitious Vision 2030 framework. This national blueprint aims to reduce dependence on oil, diversify the economy, and develop public service sectors such as health, education, infrastructure, recreation, and tourism. Central to this transformation is the localization of industrial expertise and the establishment of a robust domestic manufacturing sector. Within this context, the role of the</w:t>
      </w:r>
      <w:r>
        <w:t xml:space="preserve"> </w:t>
      </w:r>
      <w:r>
        <w:rPr>
          <w:bCs/>
          <w:b/>
        </w:rPr>
        <w:t xml:space="preserve">Automotive Engineer</w:t>
      </w:r>
      <w:r>
        <w:t xml:space="preserve"> </w:t>
      </w:r>
      <w:r>
        <w:t xml:space="preserve">has transitioned from a specialized technical position to a critical pillar of national economic strategy. This report details the strategic necessity, operational requirements, and long-term benefits of integrating high-level automotive engineering capabilities within</w:t>
      </w:r>
      <w:r>
        <w:t xml:space="preserve"> </w:t>
      </w:r>
      <w:r>
        <w:rPr>
          <w:bCs/>
          <w:b/>
        </w:rPr>
        <w:t xml:space="preserve">Saudi Arabia Riyadh</w:t>
      </w:r>
      <w:r>
        <w:t xml:space="preserve">, positioning it as the central hub for this industrial revolution.</w:t>
      </w:r>
    </w:p>
    <w:bookmarkEnd w:id="20"/>
    <w:bookmarkStart w:id="21" w:name="X0e38de828ec9104712e00e1f3a38f116cf54947"/>
    <w:p>
      <w:pPr>
        <w:pStyle w:val="Heading2"/>
      </w:pPr>
      <w:r>
        <w:t xml:space="preserve">2. Strategic Context: The Vision 2030 Imperative</w:t>
      </w:r>
    </w:p>
    <w:p>
      <w:pPr>
        <w:pStyle w:val="FirstParagraph"/>
      </w:pPr>
      <w:r>
        <w:t xml:space="preserve">Under Vision 30, the Saudi government has identified local manufacturing as a key driver of GDP growth. The automotive sector is particularly highlighted due to its high value chain potential, job creation capacity, and technological spillover effects.</w:t>
      </w:r>
      <w:r>
        <w:t xml:space="preserve"> </w:t>
      </w:r>
      <w:r>
        <w:rPr>
          <w:bCs/>
          <w:b/>
        </w:rPr>
        <w:t xml:space="preserve">Saudi Arabia Riyadh</w:t>
      </w:r>
      <w:r>
        <w:t xml:space="preserve">, serving as both the political capital and a growing commercial nexus, offers unparalleled logistical advantages for centralized engineering operations. By establishing state-of-the-art engineering hubs in the capital, the Kingdom can accelerate technology transfer from global partners to local talent pools. The focus is no longer merely on assembly but on design, prototyping, quality control systems development, and eventually innovation in electric vehicle (EV) technologies.</w:t>
      </w:r>
    </w:p>
    <w:bookmarkEnd w:id="21"/>
    <w:bookmarkStart w:id="22" w:name="the-role-of-the-automotive-engineer"/>
    <w:p>
      <w:pPr>
        <w:pStyle w:val="Heading2"/>
      </w:pPr>
      <w:r>
        <w:t xml:space="preserve">3. The Role of the Automotive Engineer</w:t>
      </w:r>
    </w:p>
    <w:p>
      <w:pPr>
        <w:pStyle w:val="FirstParagraph"/>
      </w:pPr>
      <w:r>
        <w:t xml:space="preserve">To achieve these national goals, the deployment of skilled</w:t>
      </w:r>
      <w:r>
        <w:t xml:space="preserve"> </w:t>
      </w:r>
      <w:r>
        <w:rPr>
          <w:bCs/>
          <w:b/>
        </w:rPr>
        <w:t xml:space="preserve">Automotive Engineer</w:t>
      </w:r>
      <w:r>
        <w:t xml:space="preserve">s is paramount. These professionals are not just mechanics or assembly supervisors; they are systems thinkers responsible for:</w:t>
      </w:r>
    </w:p>
    <w:p>
      <w:pPr>
        <w:numPr>
          <w:ilvl w:val="0"/>
          <w:numId w:val="1001"/>
        </w:numPr>
        <w:pStyle w:val="Compact"/>
      </w:pPr>
      <w:r>
        <w:rPr>
          <w:bCs/>
          <w:b/>
        </w:rPr>
        <w:t xml:space="preserve">Vehicle Design and Simulation:</w:t>
      </w:r>
      <w:r>
        <w:t xml:space="preserve"> </w:t>
      </w:r>
      <w:r>
        <w:t xml:space="preserve">Utilizing CAD/CAM software to design vehicles suited for harsh desert climates, ensuring thermal management and durability standards exceed international benchmarks.</w:t>
      </w:r>
    </w:p>
    <w:p>
      <w:pPr>
        <w:numPr>
          <w:ilvl w:val="0"/>
          <w:numId w:val="1001"/>
        </w:numPr>
        <w:pStyle w:val="Compact"/>
      </w:pPr>
      <w:r>
        <w:rPr>
          <w:bCs/>
          <w:b/>
        </w:rPr>
        <w:t xml:space="preserve">Sustainable Mobility Integration:</w:t>
      </w:r>
    </w:p>
    <w:p>
      <w:pPr>
        <w:numPr>
          <w:ilvl w:val="0"/>
          <w:numId w:val="1000"/>
        </w:numPr>
        <w:pStyle w:val="Compact"/>
      </w:pPr>
      <w:r>
        <w:t xml:space="preserve">Leading the transition toward electric mobility by integrating battery technologies with local grid infrastructure. This requires specialized knowledge in power electronics and renewable energy systems.</w:t>
      </w:r>
    </w:p>
    <w:p>
      <w:pPr>
        <w:numPr>
          <w:ilvl w:val="0"/>
          <w:numId w:val="1001"/>
        </w:numPr>
        <w:pStyle w:val="Compact"/>
      </w:pPr>
      <w:r>
        <w:rPr>
          <w:bCs/>
          <w:b/>
        </w:rPr>
        <w:t xml:space="preserve">Safety and Compliance:</w:t>
      </w:r>
    </w:p>
    <w:p>
      <w:pPr>
        <w:numPr>
          <w:ilvl w:val="0"/>
          <w:numId w:val="1000"/>
        </w:numPr>
        <w:pStyle w:val="Compact"/>
      </w:pPr>
      <w:r>
        <w:t xml:space="preserve">Ensuring that locally manufactured or assembled vehicles meet rigorous Saudi Standards, Metrology and Quality Organization (SASO) regulations while aligning with global safety protocols.</w:t>
      </w:r>
    </w:p>
    <w:p>
      <w:pPr>
        <w:numPr>
          <w:ilvl w:val="0"/>
          <w:numId w:val="1001"/>
        </w:numPr>
        <w:pStyle w:val="Compact"/>
      </w:pPr>
      <w:r>
        <w:rPr>
          <w:bCs/>
          <w:b/>
        </w:rPr>
        <w:t xml:space="preserve">Talent Development:</w:t>
      </w:r>
    </w:p>
    <w:p>
      <w:pPr>
        <w:numPr>
          <w:ilvl w:val="0"/>
          <w:numId w:val="1000"/>
        </w:numPr>
        <w:pStyle w:val="Compact"/>
      </w:pPr>
      <w:r>
        <w:t xml:space="preserve">Serving as mentors for local university graduates, creating a sustainable pipeline of Saudi nationals capable of sustaining the industry long-term. This aligns directly with Saudization (Nitaqat) initiatives.</w:t>
      </w:r>
    </w:p>
    <w:p>
      <w:pPr>
        <w:pStyle w:val="FirstParagraph"/>
      </w:pPr>
      <w:r>
        <w:t xml:space="preserve">The expertise provided by these engineers ensures that</w:t>
      </w:r>
      <w:r>
        <w:t xml:space="preserve"> </w:t>
      </w:r>
      <w:r>
        <w:rPr>
          <w:bCs/>
          <w:b/>
        </w:rPr>
        <w:t xml:space="preserve">Saudi Arabia Riyadh</w:t>
      </w:r>
      <w:r>
        <w:t xml:space="preserve"> </w:t>
      </w:r>
      <w:r>
        <w:t xml:space="preserve">does not merely become an assembly site but evolves into a center for intellectual property creation and engineering innovation in the MENA region.</w:t>
      </w:r>
    </w:p>
    <w:bookmarkEnd w:id="22"/>
    <w:bookmarkStart w:id="26" w:name="operational-framework-in-riyadh"/>
    <w:p>
      <w:pPr>
        <w:pStyle w:val="Heading2"/>
      </w:pPr>
      <w:r>
        <w:t xml:space="preserve">4. Operational Framework in Riyadh</w:t>
      </w:r>
    </w:p>
    <w:p>
      <w:pPr>
        <w:pStyle w:val="FirstParagraph"/>
      </w:pPr>
      <w:r>
        <w:t xml:space="preserve">The implementation of automotive engineering projects in</w:t>
      </w:r>
      <w:r>
        <w:t xml:space="preserve"> </w:t>
      </w:r>
      <w:r>
        <w:rPr>
          <w:bCs/>
          <w:b/>
        </w:rPr>
        <w:t xml:space="preserve">Saudi Arabia Riyadh</w:t>
      </w:r>
      <w:r>
        <w:t xml:space="preserve"> </w:t>
      </w:r>
      <w:r>
        <w:t xml:space="preserve">requires a structured approach involving public-private partnerships (PPPs). The operational framework includes:</w:t>
      </w:r>
    </w:p>
    <w:bookmarkStart w:id="23" w:name="infrastructure-and-logistics"/>
    <w:p>
      <w:pPr>
        <w:pStyle w:val="Heading3"/>
      </w:pPr>
      <w:r>
        <w:t xml:space="preserve">4.1 Infrastructure and Logistics</w:t>
      </w:r>
    </w:p>
    <w:p>
      <w:pPr>
        <w:pStyle w:val="FirstParagraph"/>
      </w:pPr>
      <w:r>
        <w:br/>
      </w:r>
      <w:r>
        <w:t xml:space="preserve">Riyadh boasts advanced industrial zones, such as the King Abdulaziz City for Science and Technology (KACST) technology parks. These facilities provide the necessary R&amp;D infrastructure for automotive engineers to conduct crash tests, wind tunnel simulations, and material stress analyses. The strategic location of</w:t>
      </w:r>
      <w:r>
        <w:t xml:space="preserve"> </w:t>
      </w:r>
      <w:r>
        <w:rPr>
          <w:bCs/>
          <w:b/>
        </w:rPr>
        <w:t xml:space="preserve">Saudi Arabia Riyadh</w:t>
      </w:r>
      <w:r>
        <w:t xml:space="preserve"> </w:t>
      </w:r>
      <w:r>
        <w:t xml:space="preserve">allows for efficient distribution networks connecting to Jeddah ports on the Red Sea and Dammam on the Arabian Gulf, facilitating both import of components and export of finished vehicles.</w:t>
      </w:r>
    </w:p>
    <w:bookmarkEnd w:id="23"/>
    <w:bookmarkStart w:id="24" w:name="regulatory-environment"/>
    <w:p>
      <w:pPr>
        <w:pStyle w:val="Heading3"/>
      </w:pPr>
      <w:r>
        <w:t xml:space="preserve">4.2 Regulatory Environment</w:t>
      </w:r>
    </w:p>
    <w:p>
      <w:pPr>
        <w:pStyle w:val="FirstParagraph"/>
      </w:pPr>
      <w:r>
        <w:br/>
      </w:r>
      <w:r>
        <w:t xml:space="preserve">The Ministry of Industry and Mineral Resources has streamlined regulations to encourage foreign direct investment (FDI) in automotive sectors. However, local</w:t>
      </w:r>
      <w:r>
        <w:t xml:space="preserve"> </w:t>
      </w:r>
      <w:r>
        <w:rPr>
          <w:bCs/>
          <w:b/>
        </w:rPr>
        <w:t xml:space="preserve">Automotive Engineer</w:t>
      </w:r>
      <w:r>
        <w:t xml:space="preserve">s must navigate complex compliance landscapes regarding emissions, data security for connected vehicles, and labor laws. Establishing a dedicated engineering liaison office in Riyadh will ensure smooth regulatory navigation and foster trust with local authorities.</w:t>
      </w:r>
    </w:p>
    <w:bookmarkEnd w:id="24"/>
    <w:bookmarkStart w:id="25" w:name="educational-integration"/>
    <w:p>
      <w:pPr>
        <w:pStyle w:val="Heading3"/>
      </w:pPr>
      <w:r>
        <w:t xml:space="preserve">4.3 Educational Integration</w:t>
      </w:r>
    </w:p>
    <w:p>
      <w:pPr>
        <w:pStyle w:val="FirstParagraph"/>
      </w:pPr>
      <w:r>
        <w:br/>
      </w:r>
      <w:r>
        <w:t xml:space="preserve">Collaborations between industry leaders and top universities in</w:t>
      </w:r>
      <w:r>
        <w:t xml:space="preserve"> </w:t>
      </w:r>
      <w:r>
        <w:rPr>
          <w:bCs/>
          <w:b/>
        </w:rPr>
        <w:t xml:space="preserve">Saudi Arabia Riyadh</w:t>
      </w:r>
      <w:r>
        <w:t xml:space="preserve">, such as King Saud University, are essential. The report proposes an internship and apprenticeship program where experienced engineers work alongside fresh graduates. This knowledge transfer mechanism is vital for building a self-sufficient engineering workforce that reduces reliance on expatriate labor over time.</w:t>
      </w:r>
    </w:p>
    <w:bookmarkEnd w:id="25"/>
    <w:bookmarkEnd w:id="26"/>
    <w:bookmarkStart w:id="27" w:name="challenges-and-mitigation-strategies"/>
    <w:p>
      <w:pPr>
        <w:pStyle w:val="Heading2"/>
      </w:pPr>
      <w:r>
        <w:t xml:space="preserve">5. Challenges and Mitigation Strategies</w:t>
      </w:r>
    </w:p>
    <w:p>
      <w:pPr>
        <w:pStyle w:val="FirstParagraph"/>
      </w:pPr>
      <w:r>
        <w:t xml:space="preserve">Despite the promising outlook, several challenges exist:</w:t>
      </w:r>
    </w:p>
    <w:p>
      <w:pPr>
        <w:numPr>
          <w:ilvl w:val="0"/>
          <w:numId w:val="1002"/>
        </w:numPr>
        <w:pStyle w:val="Compact"/>
      </w:pPr>
      <w:r>
        <w:rPr>
          <w:bCs/>
          <w:b/>
        </w:rPr>
        <w:t xml:space="preserve">Skill Gap:</w:t>
      </w:r>
      <w:r>
        <w:t xml:space="preserve">The current market lacks sufficient senior-level engineers with specialized EV experience.</w:t>
      </w:r>
    </w:p>
    <w:p>
      <w:pPr>
        <w:numPr>
          <w:ilvl w:val="0"/>
          <w:numId w:val="1002"/>
        </w:numPr>
        <w:pStyle w:val="Compact"/>
      </w:pPr>
      <w:r>
        <w:rPr>
          <w:bCs/>
          <w:b/>
        </w:rPr>
        <w:t xml:space="preserve">Technology Transfer Barriers:</w:t>
      </w:r>
      <w:r>
        <w:t xml:space="preserve">Multinational corporations may be reluctant to share core intellectual property.</w:t>
      </w:r>
    </w:p>
    <w:bookmarkEnd w:id="27"/>
    <w:bookmarkStart w:id="28" w:name="economic-impact-and-roi"/>
    <w:p>
      <w:pPr>
        <w:pStyle w:val="Heading2"/>
      </w:pPr>
      <w:r>
        <w:t xml:space="preserve">6. Economic Impact and ROI</w:t>
      </w:r>
    </w:p>
    <w:p>
      <w:pPr>
        <w:pStyle w:val="FirstParagraph"/>
      </w:pPr>
      <w:r>
        <w:t xml:space="preserve">The investment in automotive engineering infrastructure in</w:t>
      </w:r>
      <w:r>
        <w:t xml:space="preserve"> </w:t>
      </w:r>
      <w:r>
        <w:rPr>
          <w:bCs/>
          <w:b/>
        </w:rPr>
        <w:t xml:space="preserve">Saudi Arabia Riyadh</w:t>
      </w:r>
      <w:r>
        <w:br/>
      </w:r>
      <w:r>
        <w:t xml:space="preserve">promises significant returns. Direct economic benefits include the creation of high-value jobs, increased export volumes of auto parts and finished vehicles, and the reduction of foreign currency outflow associated with vehicle imports. Furthermore, the presence of a skilled engineering workforce attracts ancillary industries such as software development for autonomous driving systems and battery recycling facilities.</w:t>
      </w:r>
      <w:r>
        <w:t xml:space="preserve"> </w:t>
      </w:r>
      <w:r>
        <w:t xml:space="preserve">Indirectly, a strong automotive sector boosts tourism by facilitating rental car ecosystems and enhances urban mobility solutions within Riyadh itself, supporting the city’s goal to become one of the world's most livable cities.</w:t>
      </w:r>
    </w:p>
    <w:bookmarkEnd w:id="28"/>
    <w:bookmarkStart w:id="29" w:name="conclusion"/>
    <w:p>
      <w:pPr>
        <w:pStyle w:val="Heading2"/>
      </w:pPr>
      <w:r>
        <w:t xml:space="preserve">7. Conclusion</w:t>
      </w:r>
    </w:p>
    <w:p>
      <w:pPr>
        <w:pStyle w:val="FirstParagraph"/>
      </w:pPr>
      <w:r>
        <w:t xml:space="preserve">The strategic integration of advanced automotive engineering capabilities in</w:t>
      </w:r>
      <w:r>
        <w:t xml:space="preserve"> </w:t>
      </w:r>
      <w:r>
        <w:rPr>
          <w:bCs/>
          <w:b/>
        </w:rPr>
        <w:t xml:space="preserve">Saudi Arabia Riyadh</w:t>
      </w:r>
      <w:r>
        <w:t xml:space="preserve"> </w:t>
      </w:r>
      <w:r>
        <w:t xml:space="preserve">is not merely an industrial upgrade but a national imperative aligned with Vision 30. By empowering</w:t>
      </w:r>
      <w:r>
        <w:t xml:space="preserve"> </w:t>
      </w:r>
      <w:r>
        <w:rPr>
          <w:bCs/>
          <w:b/>
        </w:rPr>
        <w:t xml:space="preserve">Automotive Engineer</w:t>
      </w:r>
      <w:r>
        <w:t xml:space="preserve">s with the right tools, regulatory support, and educational opportunities, the Kingdom can secure its position as a global leader in future mobility. This project report recommends immediate action to establish dedicated engineering hubs in Riyadh, fostering an ecosystem where innovation thrives and local talent is empowered to drive the next generation of automotive technology. The successful execution of this plan will yield substantial economic diversification, job creation, and technological sovereignty for Saudi Arabia.</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Automotive Engineering Excellence in Saudi Arabia, Riyadh</dc:title>
  <dc:creator/>
  <cp:keywords/>
  <dcterms:created xsi:type="dcterms:W3CDTF">2026-07-29T17:57:36Z</dcterms:created>
  <dcterms:modified xsi:type="dcterms:W3CDTF">2026-07-29T17:57:36Z</dcterms:modified>
</cp:coreProperties>
</file>

<file path=docProps/custom.xml><?xml version="1.0" encoding="utf-8"?>
<Properties xmlns="http://schemas.openxmlformats.org/officeDocument/2006/custom-properties" xmlns:vt="http://schemas.openxmlformats.org/officeDocument/2006/docPropsVTypes"/>
</file>