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Strategic</w:t>
      </w:r>
      <w:r>
        <w:t xml:space="preserve"> </w:t>
      </w:r>
      <w:r>
        <w:t xml:space="preserve">Expansion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079e12fcefbdd07d2296adbf2d27bbaa359a023"/>
    <w:p>
      <w:pPr>
        <w:pStyle w:val="Heading1"/>
      </w:pPr>
      <w:r>
        <w:t xml:space="preserve">Baker Project Report: Strategic Expansion in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Department</w:t>
      </w:r>
      <w:r>
        <w:br/>
      </w:r>
      <w:r>
        <w:rPr>
          <w:bCs/>
          <w:b/>
        </w:rPr>
        <w:t xml:space="preserve">Baker</w:t>
      </w:r>
      <w:r>
        <w:br/>
      </w:r>
    </w:p>
    <w:bookmarkStart w:id="20" w:name="introduction"/>
    <w:p>
      <w:pPr>
        <w:pStyle w:val="Heading2"/>
      </w:pPr>
      <w:r>
        <w:t xml:space="preserve">1. Introduction</w:t>
      </w:r>
    </w:p>
    <w:p>
      <w:pPr>
        <w:pStyle w:val="FirstParagraph"/>
      </w:pPr>
      <w:r>
        <w:t xml:space="preserve">This document serves as a comprehensive Project Report regarding the establishment and operational rollout of our new flagship facility, designated as the</w:t>
      </w:r>
      <w:r>
        <w:t xml:space="preserve"> </w:t>
      </w:r>
      <w:r>
        <w:rPr>
          <w:bCs/>
          <w:b/>
        </w:rPr>
        <w:t xml:space="preserve">Baker</w:t>
      </w:r>
      <w:r>
        <w:t xml:space="preserve"> </w:t>
      </w:r>
      <w:r>
        <w:t xml:space="preserve">initiative, within the Kingdom of Saudi Arabia. Specifically, this report focuses on the strategic implementation in Riyadh, the capital city and primary economic hub of Saudi Arabia Riyadh. As part of our broader global expansion strategy aimed at capitalizing on emerging markets and aligning with international growth objectives, this project represents a significant milestone for our organization.</w:t>
      </w:r>
    </w:p>
    <w:p>
      <w:pPr>
        <w:pStyle w:val="BodyText"/>
      </w:pPr>
      <w:r>
        <w:t xml:space="preserve">The</w:t>
      </w:r>
      <w:r>
        <w:t xml:space="preserve"> </w:t>
      </w:r>
      <w:r>
        <w:rPr>
          <w:bCs/>
          <w:b/>
        </w:rPr>
        <w:t xml:space="preserve">Baker</w:t>
      </w:r>
      <w:r>
        <w:t xml:space="preserve"> </w:t>
      </w:r>
      <w:r>
        <w:t xml:space="preserve">project is not merely an operational upgrade; it is a transformative endeavor designed to meet the increasing demand for high-quality manufactured goods in the Middle East. By situating this initiative in Riyadh, we aim to leverage the city’s rapid urbanization, infrastructural development, and favorable business climate. This report outlines the objectives, market analysis, operational framework, risk assessment associated with operating in Saudi Arabia Riyadh under the</w:t>
      </w:r>
      <w:r>
        <w:t xml:space="preserve"> </w:t>
      </w:r>
      <w:r>
        <w:rPr>
          <w:bCs/>
          <w:b/>
        </w:rPr>
        <w:t xml:space="preserve">Baker</w:t>
      </w:r>
      <w:r>
        <w:t xml:space="preserve"> </w:t>
      </w:r>
      <w:r>
        <w:t xml:space="preserve">brand identity.</w:t>
      </w:r>
    </w:p>
    <w:bookmarkEnd w:id="20"/>
    <w:bookmarkStart w:id="21" w:name="objectives"/>
    <w:p>
      <w:pPr>
        <w:pStyle w:val="Heading2"/>
      </w:pPr>
      <w:r>
        <w:t xml:space="preserve">2. Project Objectives</w:t>
      </w:r>
    </w:p>
    <w:p>
      <w:pPr>
        <w:pStyle w:val="FirstParagraph"/>
      </w:pPr>
      <w:r>
        <w:t xml:space="preserve">The primary objectives of the</w:t>
      </w:r>
      <w:r>
        <w:t xml:space="preserve"> </w:t>
      </w:r>
      <w:r>
        <w:rPr>
          <w:bCs/>
          <w:b/>
        </w:rPr>
        <w:t xml:space="preserve">Baker</w:t>
      </w:r>
      <w:r>
        <w:t xml:space="preserve"> </w:t>
      </w:r>
      <w:r>
        <w:t xml:space="preserve">project are meticulously aligned with both corporate goals and regional opportunities. Firstly, we intend to establish a state-of-the-art production hub that adheres to international quality standards while respecting local cultural nuances. Secondly, the project aims to create sustainable employment opportunities for the local workforce, directly supporting the Vision 2030 initiative which emphasizes workforce localization (Saudization).</w:t>
      </w:r>
    </w:p>
    <w:p>
      <w:pPr>
        <w:pStyle w:val="BodyText"/>
      </w:pPr>
      <w:r>
        <w:t xml:space="preserve">Furthermore, the</w:t>
      </w:r>
      <w:r>
        <w:t xml:space="preserve"> </w:t>
      </w:r>
      <w:r>
        <w:rPr>
          <w:bCs/>
          <w:b/>
        </w:rPr>
        <w:t xml:space="preserve">Baker</w:t>
      </w:r>
      <w:r>
        <w:t xml:space="preserve"> </w:t>
      </w:r>
      <w:r>
        <w:t xml:space="preserve">facility will serve as a distribution center for Riyadh and surrounding regions in Saudi Arabia Riyadh. By centralizing logistics here, we expect to reduce supply chain costs by approximately 15% within the first two years of operation. The ultimate goal is to position</w:t>
      </w:r>
      <w:r>
        <w:t xml:space="preserve"> </w:t>
      </w:r>
      <w:r>
        <w:rPr>
          <w:bCs/>
          <w:b/>
        </w:rPr>
        <w:t xml:space="preserve">Baker</w:t>
      </w:r>
      <w:r>
        <w:t xml:space="preserve"> </w:t>
      </w:r>
      <w:r>
        <w:t xml:space="preserve">as a market leader in our sector, recognized for reliability, quality, and community engagement.</w:t>
      </w:r>
    </w:p>
    <w:bookmarkEnd w:id="21"/>
    <w:bookmarkStart w:id="22" w:name="market-analysis"/>
    <w:p>
      <w:pPr>
        <w:pStyle w:val="Heading2"/>
      </w:pPr>
      <w:r>
        <w:t xml:space="preserve">3. Market Analysis: The Context of Saudi Arabia Riyadh</w:t>
      </w:r>
    </w:p>
    <w:p>
      <w:pPr>
        <w:pStyle w:val="FirstParagraph"/>
      </w:pPr>
      <w:r>
        <w:t xml:space="preserve">Saudi Arabia Riyadh has emerged as one of the most dynamic commercial centers in the Middle East. With a population exceeding 7 million people and continuous influx of expatriates and investors, the demand for modern housing, infrastructure materials, and consumer goods is at an all-time high. The city is undergoing unprecedented transformation driven by mega-projects such as NEOM (partially linked through regional connectivity), the Diriyah Gate project, and various urban development schemes.</w:t>
      </w:r>
    </w:p>
    <w:p>
      <w:pPr>
        <w:pStyle w:val="BodyText"/>
      </w:pPr>
      <w:r>
        <w:t xml:space="preserve">The economic landscape in Saudi Arabia Riyadh is characterized by robust government spending on infrastructure and a diversifying economy moving away from sole reliance on oil. This macroeconomic stability provides an ideal backdrop for the</w:t>
      </w:r>
      <w:r>
        <w:t xml:space="preserve"> </w:t>
      </w:r>
      <w:r>
        <w:rPr>
          <w:bCs/>
          <w:b/>
        </w:rPr>
        <w:t xml:space="preserve">Baker</w:t>
      </w:r>
      <w:r>
        <w:t xml:space="preserve"> </w:t>
      </w:r>
      <w:r>
        <w:t xml:space="preserve">initiative. However, competition is intensifying, requiring our strategy to be distinctively focused on quality and after-sales service. The local consumer in Riyadh values durability and brand heritage, attributes that align perfectly with the established reputation of</w:t>
      </w:r>
      <w:r>
        <w:t xml:space="preserve"> </w:t>
      </w:r>
      <w:r>
        <w:rPr>
          <w:bCs/>
          <w:b/>
        </w:rPr>
        <w:t xml:space="preserve">Baker</w:t>
      </w:r>
      <w:r>
        <w:t xml:space="preserve">.</w:t>
      </w:r>
    </w:p>
    <w:p>
      <w:pPr>
        <w:pStyle w:val="BodyText"/>
      </w:pPr>
      <w:r>
        <w:t xml:space="preserve">Additionally, regulatory reforms in Saudi Arabia Riyadh have simplified foreign investment procedures. The introduction of e-visas, improved commercial registration processes, and free zones offer tangible benefits for our expansion. Understanding these local dynamics is crucial for the success of any project operating under the name</w:t>
      </w:r>
      <w:r>
        <w:t xml:space="preserve"> </w:t>
      </w:r>
      <w:r>
        <w:rPr>
          <w:bCs/>
          <w:b/>
        </w:rPr>
        <w:t xml:space="preserve">Baker</w:t>
      </w:r>
      <w:r>
        <w:t xml:space="preserve"> </w:t>
      </w:r>
      <w:r>
        <w:t xml:space="preserve">in this region.</w:t>
      </w:r>
    </w:p>
    <w:bookmarkEnd w:id="22"/>
    <w:bookmarkStart w:id="23" w:name="operational-strategy"/>
    <w:p>
      <w:pPr>
        <w:pStyle w:val="Heading2"/>
      </w:pPr>
      <w:r>
        <w:t xml:space="preserve">4. Operational Strategy and Implementation</w:t>
      </w:r>
    </w:p>
    <w:p>
      <w:pPr>
        <w:pStyle w:val="FirstParagraph"/>
      </w:pPr>
      <w:r>
        <w:t xml:space="preserve">The operational framework of the</w:t>
      </w:r>
      <w:r>
        <w:t xml:space="preserve"> </w:t>
      </w:r>
      <w:r>
        <w:rPr>
          <w:bCs/>
          <w:b/>
        </w:rPr>
        <w:t xml:space="preserve">Baker</w:t>
      </w:r>
      <w:r>
        <w:t xml:space="preserve"> </w:t>
      </w:r>
      <w:r>
        <w:t xml:space="preserve">project involves a phased approach to ensure seamless integration into the Saudi Arabia Riyadh market. Phase one includes site acquisition in designated industrial zones such as Olaya or King Abdullah Financial District (KAFD), depending on final zoning approvals. Site selection prioritizes proximity to major highways like Prince Mohammed Bin Abdulaziz Road to facilitate efficient logistics across the country.</w:t>
      </w:r>
    </w:p>
    <w:p>
      <w:pPr>
        <w:pStyle w:val="BodyText"/>
      </w:pPr>
      <w:r>
        <w:t xml:space="preserve">Technology integration will be a cornerstone of the</w:t>
      </w:r>
      <w:r>
        <w:t xml:space="preserve"> </w:t>
      </w:r>
      <w:r>
        <w:rPr>
          <w:bCs/>
          <w:b/>
        </w:rPr>
        <w:t xml:space="preserve">Baker</w:t>
      </w:r>
      <w:r>
        <w:t xml:space="preserve"> </w:t>
      </w:r>
      <w:r>
        <w:t xml:space="preserve">operations. We plan to implement Industry 4.0 technologies, including AI-driven inventory management and automated assembly lines, to enhance productivity and reduce waste. This technological edge will allow us to remain competitive against local manufacturers in Saudi Arabia Riyadh who may lack similar digital capabilities.</w:t>
      </w:r>
    </w:p>
    <w:p>
      <w:pPr>
        <w:pStyle w:val="BodyText"/>
      </w:pPr>
      <w:r>
        <w:t xml:space="preserve">Human resources will be managed with a focus on knowledge transfer. We intend to hire 70% of our workforce from the local population, adhering strictly to Saudization quotas imposed by the Ministry of Human Resources in Saudi Arabia Riyadh. Comprehensive training programs will be developed by senior experts from</w:t>
      </w:r>
      <w:r>
        <w:t xml:space="preserve"> </w:t>
      </w:r>
      <w:r>
        <w:rPr>
          <w:bCs/>
          <w:b/>
        </w:rPr>
        <w:t xml:space="preserve">Baker</w:t>
      </w:r>
      <w:r>
        <w:t xml:space="preserve"> </w:t>
      </w:r>
      <w:r>
        <w:t xml:space="preserve">headquarters to ensure skill development and cultural alignment.</w:t>
      </w:r>
    </w:p>
    <w:bookmarkEnd w:id="23"/>
    <w:bookmarkStart w:id="24" w:name="risk-assessment"/>
    <w:p>
      <w:pPr>
        <w:pStyle w:val="Heading2"/>
      </w:pPr>
      <w:r>
        <w:t xml:space="preserve">5. Risk Assessment and Mitigation</w:t>
      </w:r>
    </w:p>
    <w:p>
      <w:pPr>
        <w:pStyle w:val="FirstParagraph"/>
      </w:pPr>
      <w:r>
        <w:t xml:space="preserve">No project is without risks, particularly when entering a new geopolitical and economic environment. One of the primary risks identified for the</w:t>
      </w:r>
      <w:r>
        <w:t xml:space="preserve"> </w:t>
      </w:r>
      <w:r>
        <w:rPr>
          <w:bCs/>
          <w:b/>
        </w:rPr>
        <w:t xml:space="preserve">Baker</w:t>
      </w:r>
      <w:r>
        <w:t xml:space="preserve"> </w:t>
      </w:r>
      <w:r>
        <w:t xml:space="preserve">project in Saudi Arabia Riyadh is regulatory volatility. While current policies are favorable, changes in government regulations regarding labor laws or taxation could impact operations. To mitigate this, we have engaged local legal counsel specializing in Saudi Arabian commercial law to ensure continuous compliance.</w:t>
      </w:r>
    </w:p>
    <w:p>
      <w:pPr>
        <w:pStyle w:val="BodyText"/>
      </w:pPr>
      <w:r>
        <w:t xml:space="preserve">Cultural misalignment is another potential risk. Although</w:t>
      </w:r>
      <w:r>
        <w:t xml:space="preserve"> </w:t>
      </w:r>
      <w:r>
        <w:rPr>
          <w:bCs/>
          <w:b/>
        </w:rPr>
        <w:t xml:space="preserve">Baker</w:t>
      </w:r>
      <w:r>
        <w:t xml:space="preserve"> </w:t>
      </w:r>
      <w:r>
        <w:t xml:space="preserve">is a global brand, success in Saudi Arabia Riyadh requires deep respect for Islamic traditions and local customs. For instance, prayer times must be accommodated within work schedules, and business etiquette must align with regional norms. We are investing heavily in cultural sensitivity training for all expatriate staff involved with the</w:t>
      </w:r>
      <w:r>
        <w:t xml:space="preserve"> </w:t>
      </w:r>
      <w:r>
        <w:rPr>
          <w:bCs/>
          <w:b/>
        </w:rPr>
        <w:t xml:space="preserve">Baker</w:t>
      </w:r>
      <w:r>
        <w:t xml:space="preserve"> </w:t>
      </w:r>
      <w:r>
        <w:t xml:space="preserve">team.</w:t>
      </w:r>
    </w:p>
    <w:p>
      <w:pPr>
        <w:pStyle w:val="BodyText"/>
      </w:pPr>
      <w:r>
        <w:t xml:space="preserve">Economic fluctuations also pose a risk. However, the Saudi economy is currently experiencing strong growth momentum due to oil prices and non-oil sector expansion. By locking in long-term supply contracts and diversifying our product line, we aim to insulate the</w:t>
      </w:r>
      <w:r>
        <w:t xml:space="preserve"> </w:t>
      </w:r>
      <w:r>
        <w:rPr>
          <w:bCs/>
          <w:b/>
        </w:rPr>
        <w:t xml:space="preserve">Baker</w:t>
      </w:r>
      <w:r>
        <w:t xml:space="preserve"> </w:t>
      </w:r>
      <w:r>
        <w:t xml:space="preserve">project from minor market volatilities.</w:t>
      </w:r>
    </w:p>
    <w:bookmarkEnd w:id="24"/>
    <w:bookmarkStart w:id="25" w:name="financial-projections"/>
    <w:p>
      <w:pPr>
        <w:pStyle w:val="Heading2"/>
      </w:pPr>
      <w:r>
        <w:t xml:space="preserve">6. Financial Projections and Sustainability</w:t>
      </w:r>
    </w:p>
    <w:p>
      <w:pPr>
        <w:pStyle w:val="FirstParagraph"/>
      </w:pPr>
      <w:r>
        <w:t xml:space="preserve">The financial outlook for the</w:t>
      </w:r>
      <w:r>
        <w:t xml:space="preserve"> </w:t>
      </w:r>
      <w:r>
        <w:rPr>
          <w:bCs/>
          <w:b/>
        </w:rPr>
        <w:t xml:space="preserve">Baker</w:t>
      </w:r>
      <w:r>
        <w:t xml:space="preserve"> </w:t>
      </w:r>
      <w:r>
        <w:t xml:space="preserve">project in Saudi Arabia Riyadh is positive. Initial capital expenditure is projected at $15 million, covering land acquisition, construction of the facility, and initial machinery setup. Break-even analysis suggests that we will achieve profitability by the end of Year 2, driven by high demand in Riyadh and efficient operational costs.</w:t>
      </w:r>
    </w:p>
    <w:p>
      <w:pPr>
        <w:pStyle w:val="BodyText"/>
      </w:pPr>
      <w:r>
        <w:t xml:space="preserve">Sustainability is embedded in the</w:t>
      </w:r>
      <w:r>
        <w:t xml:space="preserve"> </w:t>
      </w:r>
      <w:r>
        <w:rPr>
          <w:bCs/>
          <w:b/>
        </w:rPr>
        <w:t xml:space="preserve">Baker</w:t>
      </w:r>
      <w:r>
        <w:t xml:space="preserve"> </w:t>
      </w:r>
      <w:r>
        <w:t xml:space="preserve">project design. We aim to achieve LEED Gold certification for our building in Saudi Arabia Riyadh, reducing energy consumption through solar panels and advanced insulation. This commitment to environmental stewardship aligns with the Kingdom’s own sustainability goals under Vision 2030, enhancing our brand reputation among eco-conscious consumers.</w:t>
      </w:r>
    </w:p>
    <w:bookmarkEnd w:id="25"/>
    <w:bookmarkStart w:id="26" w:name="conclusion"/>
    <w:p>
      <w:pPr>
        <w:pStyle w:val="Heading2"/>
      </w:pPr>
      <w:r>
        <w:t xml:space="preserve">7. Conclusion</w:t>
      </w:r>
    </w:p>
    <w:p>
      <w:pPr>
        <w:pStyle w:val="FirstParagraph"/>
      </w:pPr>
      <w:r>
        <w:t xml:space="preserve">In conclusion, the expansion of</w:t>
      </w:r>
      <w:r>
        <w:t xml:space="preserve"> </w:t>
      </w:r>
      <w:r>
        <w:rPr>
          <w:bCs/>
          <w:b/>
        </w:rPr>
        <w:t xml:space="preserve">Baker</w:t>
      </w:r>
      <w:r>
        <w:t xml:space="preserve"> </w:t>
      </w:r>
      <w:r>
        <w:t xml:space="preserve">into Saudi Arabia Riyadh represents a strategic imperative for our company’s future growth. The convergence of a booming local economy in Riyadh, supportive government policies, and unmet market demand creates an optimal environment for success. By adhering to strict operational standards, respecting cultural nuances, and leveraging technological innovation, the</w:t>
      </w:r>
      <w:r>
        <w:t xml:space="preserve"> </w:t>
      </w:r>
      <w:r>
        <w:rPr>
          <w:bCs/>
          <w:b/>
        </w:rPr>
        <w:t xml:space="preserve">Baker</w:t>
      </w:r>
      <w:r>
        <w:t xml:space="preserve"> </w:t>
      </w:r>
      <w:r>
        <w:t xml:space="preserve">project is poised to become a cornerstone of our international portfolio.</w:t>
      </w:r>
    </w:p>
    <w:p>
      <w:pPr>
        <w:pStyle w:val="BodyText"/>
      </w:pPr>
      <w:r>
        <w:t xml:space="preserve">We recommend immediate approval of the budget allocation to commence Phase One activities. The potential rewards outweigh the risks significantly, provided that careful management and local engagement remain central to the execution strategy. This Project Report confirms that</w:t>
      </w:r>
      <w:r>
        <w:t xml:space="preserve"> </w:t>
      </w:r>
      <w:r>
        <w:rPr>
          <w:bCs/>
          <w:b/>
        </w:rPr>
        <w:t xml:space="preserve">Baker</w:t>
      </w:r>
      <w:r>
        <w:t xml:space="preserve"> </w:t>
      </w:r>
      <w:r>
        <w:t xml:space="preserve">is not only ready but essential for capitalizing on the transformative opportunities currently unfolding in Saudi Arabia Riyadh.</w:t>
      </w:r>
    </w:p>
    <w:bookmarkEnd w:id="26"/>
    <w:bookmarkStart w:id="27" w:name="appendix"/>
    <w:p>
      <w:pPr>
        <w:pStyle w:val="Heading2"/>
      </w:pPr>
      <w:r>
        <w:t xml:space="preserve">8. Appendices</w:t>
      </w:r>
    </w:p>
    <w:p>
      <w:pPr>
        <w:numPr>
          <w:ilvl w:val="0"/>
          <w:numId w:val="1001"/>
        </w:numPr>
        <w:pStyle w:val="Compact"/>
      </w:pPr>
      <w:r>
        <w:rPr>
          <w:bCs/>
          <w:b/>
        </w:rPr>
        <w:t xml:space="preserve">A:</w:t>
      </w:r>
      <w:r>
        <w:t xml:space="preserve"> </w:t>
      </w:r>
      <w:r>
        <w:t xml:space="preserve">Detailed Site Selection Maps for Riyadh Industrial Areas.</w:t>
      </w:r>
    </w:p>
    <w:p>
      <w:pPr>
        <w:numPr>
          <w:ilvl w:val="0"/>
          <w:numId w:val="1001"/>
        </w:numPr>
        <w:pStyle w:val="Compact"/>
      </w:pPr>
      <w:r>
        <w:rPr>
          <w:bCs/>
          <w:b/>
        </w:rPr>
        <w:t xml:space="preserve">B:</w:t>
      </w:r>
      <w:r>
        <w:t xml:space="preserve"> </w:t>
      </w:r>
      <w:r>
        <w:t xml:space="preserve">Legal Compliance Checklist for Foreign Entities in Saudi Arabia.</w:t>
      </w:r>
    </w:p>
    <w:p>
      <w:pPr>
        <w:numPr>
          <w:ilvl w:val="0"/>
          <w:numId w:val="1001"/>
        </w:numPr>
        <w:pStyle w:val="Compact"/>
      </w:pPr>
      <w:r>
        <w:t xml:space="preserve">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Strategic Expansion in Saudi Arabia Riyadh</dc:title>
  <dc:creator/>
  <dc:language>en</dc:language>
  <cp:keywords/>
  <dcterms:created xsi:type="dcterms:W3CDTF">2026-07-29T07:43:52Z</dcterms:created>
  <dcterms:modified xsi:type="dcterms:W3CDTF">2026-07-29T07:43:52Z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